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0229D" w14:textId="77777777" w:rsidR="00123B3E" w:rsidRPr="001B1607" w:rsidRDefault="00123B3E" w:rsidP="00123B3E">
      <w:pPr>
        <w:pStyle w:val="yiv4264280208msonormal"/>
        <w:shd w:val="clear" w:color="auto" w:fill="FFFFFF"/>
        <w:spacing w:before="0" w:beforeAutospacing="0" w:after="0" w:afterAutospacing="0"/>
        <w:jc w:val="center"/>
        <w:rPr>
          <w:rFonts w:ascii="Georgia" w:hAnsi="Georgia" w:cs="Arial"/>
          <w:b/>
          <w:bCs/>
          <w:color w:val="000000"/>
        </w:rPr>
      </w:pPr>
      <w:r w:rsidRPr="001B1607">
        <w:rPr>
          <w:rFonts w:ascii="Georgia" w:hAnsi="Georgia" w:cs="Arial"/>
          <w:b/>
          <w:bCs/>
          <w:color w:val="000000"/>
        </w:rPr>
        <w:t>The Albany Core</w:t>
      </w:r>
    </w:p>
    <w:p w14:paraId="371CB854" w14:textId="77777777" w:rsidR="00123B3E" w:rsidRPr="001B1607" w:rsidRDefault="00123B3E" w:rsidP="00123B3E">
      <w:pPr>
        <w:pStyle w:val="yiv4264280208msonormal"/>
        <w:shd w:val="clear" w:color="auto" w:fill="FFFFFF"/>
        <w:spacing w:before="0" w:beforeAutospacing="0" w:after="0" w:afterAutospacing="0"/>
        <w:jc w:val="center"/>
        <w:rPr>
          <w:rFonts w:ascii="Georgia" w:hAnsi="Georgia" w:cs="Arial"/>
          <w:b/>
          <w:bCs/>
          <w:color w:val="000000"/>
        </w:rPr>
      </w:pPr>
      <w:r w:rsidRPr="001B1607">
        <w:rPr>
          <w:rFonts w:ascii="Georgia" w:hAnsi="Georgia" w:cs="Arial"/>
          <w:b/>
          <w:bCs/>
          <w:color w:val="000000"/>
        </w:rPr>
        <w:t>&amp; Pre-Upper Eocene Sections</w:t>
      </w:r>
    </w:p>
    <w:p w14:paraId="63D83971" w14:textId="77777777" w:rsidR="00123B3E" w:rsidRPr="001B1607" w:rsidRDefault="00123B3E" w:rsidP="00123B3E">
      <w:pPr>
        <w:pStyle w:val="yiv4264280208msonormal"/>
        <w:shd w:val="clear" w:color="auto" w:fill="FFFFFF"/>
        <w:spacing w:before="0" w:beforeAutospacing="0" w:after="0" w:afterAutospacing="0"/>
        <w:jc w:val="center"/>
        <w:rPr>
          <w:rFonts w:ascii="Georgia" w:hAnsi="Georgia" w:cs="Arial"/>
          <w:b/>
          <w:bCs/>
          <w:color w:val="000000"/>
        </w:rPr>
      </w:pPr>
      <w:r w:rsidRPr="001B1607">
        <w:rPr>
          <w:rFonts w:ascii="Georgia" w:hAnsi="Georgia" w:cs="Arial"/>
          <w:b/>
          <w:bCs/>
          <w:color w:val="000000"/>
        </w:rPr>
        <w:t>Alabama, Mississippi, &amp; Georgia</w:t>
      </w:r>
    </w:p>
    <w:p w14:paraId="2E195D7C" w14:textId="77777777" w:rsidR="00F50371" w:rsidRDefault="00F50371" w:rsidP="00123B3E">
      <w:pPr>
        <w:pStyle w:val="yiv4264280208msonormal"/>
        <w:shd w:val="clear" w:color="auto" w:fill="FFFFFF"/>
        <w:spacing w:before="0" w:beforeAutospacing="0" w:after="0" w:afterAutospacing="0"/>
        <w:jc w:val="center"/>
        <w:rPr>
          <w:rFonts w:ascii="Georgia" w:hAnsi="Georgia" w:cs="Arial"/>
          <w:color w:val="000000"/>
        </w:rPr>
      </w:pPr>
    </w:p>
    <w:p w14:paraId="72393B14" w14:textId="34C614D1" w:rsidR="00123B3E" w:rsidRPr="00F50371" w:rsidRDefault="00123B3E" w:rsidP="00123B3E">
      <w:pPr>
        <w:pStyle w:val="yiv4264280208msonormal"/>
        <w:shd w:val="clear" w:color="auto" w:fill="FFFFFF"/>
        <w:spacing w:before="0" w:beforeAutospacing="0" w:after="0" w:afterAutospacing="0"/>
        <w:jc w:val="center"/>
        <w:rPr>
          <w:rFonts w:ascii="Georgia" w:hAnsi="Georgia" w:cs="Arial"/>
          <w:color w:val="000000"/>
        </w:rPr>
      </w:pPr>
      <w:r w:rsidRPr="00F50371">
        <w:rPr>
          <w:rFonts w:ascii="Georgia" w:hAnsi="Georgia" w:cs="Arial"/>
          <w:color w:val="000000"/>
        </w:rPr>
        <w:t xml:space="preserve">By Paul </w:t>
      </w:r>
      <w:proofErr w:type="spellStart"/>
      <w:r w:rsidRPr="00F50371">
        <w:rPr>
          <w:rFonts w:ascii="Georgia" w:hAnsi="Georgia" w:cs="Arial"/>
          <w:color w:val="000000"/>
        </w:rPr>
        <w:t>Huddlestun</w:t>
      </w:r>
      <w:proofErr w:type="spellEnd"/>
    </w:p>
    <w:p w14:paraId="189C652E" w14:textId="77777777" w:rsidR="00123B3E" w:rsidRPr="00F50371" w:rsidRDefault="00123B3E" w:rsidP="00123B3E">
      <w:pPr>
        <w:pStyle w:val="yiv4264280208msonormal"/>
        <w:shd w:val="clear" w:color="auto" w:fill="FFFFFF"/>
        <w:spacing w:before="0" w:beforeAutospacing="0" w:after="0" w:afterAutospacing="0"/>
        <w:jc w:val="center"/>
        <w:rPr>
          <w:rFonts w:ascii="Georgia" w:hAnsi="Georgia" w:cs="Arial"/>
          <w:color w:val="000000"/>
        </w:rPr>
      </w:pPr>
      <w:r w:rsidRPr="00F50371">
        <w:rPr>
          <w:rFonts w:ascii="Georgia" w:hAnsi="Georgia" w:cs="Arial"/>
          <w:color w:val="000000"/>
        </w:rPr>
        <w:t>Emailed text: 28/June/</w:t>
      </w:r>
      <w:proofErr w:type="gramStart"/>
      <w:r w:rsidRPr="00F50371">
        <w:rPr>
          <w:rFonts w:ascii="Georgia" w:hAnsi="Georgia" w:cs="Arial"/>
          <w:color w:val="000000"/>
        </w:rPr>
        <w:t>2021</w:t>
      </w:r>
      <w:proofErr w:type="gramEnd"/>
      <w:r w:rsidRPr="00F50371">
        <w:rPr>
          <w:rFonts w:ascii="Georgia" w:hAnsi="Georgia" w:cs="Arial"/>
          <w:color w:val="000000"/>
        </w:rPr>
        <w:t xml:space="preserve"> </w:t>
      </w:r>
    </w:p>
    <w:p w14:paraId="7FA57684" w14:textId="77777777" w:rsidR="00123B3E" w:rsidRDefault="00123B3E" w:rsidP="00543383">
      <w:pPr>
        <w:tabs>
          <w:tab w:val="left" w:pos="372"/>
          <w:tab w:val="left" w:pos="2256"/>
        </w:tabs>
        <w:spacing w:after="0" w:line="240" w:lineRule="auto"/>
        <w:jc w:val="both"/>
        <w:rPr>
          <w:rFonts w:ascii="Georgia" w:hAnsi="Georgia"/>
          <w:sz w:val="24"/>
          <w:szCs w:val="24"/>
        </w:rPr>
      </w:pPr>
    </w:p>
    <w:p w14:paraId="0A0003CA" w14:textId="42E25361" w:rsidR="00E6235B" w:rsidRPr="00F223CF" w:rsidRDefault="00B03CAB" w:rsidP="00543383">
      <w:pPr>
        <w:tabs>
          <w:tab w:val="left" w:pos="372"/>
          <w:tab w:val="left" w:pos="2256"/>
        </w:tabs>
        <w:spacing w:after="0" w:line="240" w:lineRule="auto"/>
        <w:jc w:val="both"/>
        <w:rPr>
          <w:rFonts w:ascii="Georgia" w:hAnsi="Georgia"/>
          <w:sz w:val="24"/>
          <w:szCs w:val="24"/>
        </w:rPr>
      </w:pPr>
      <w:r w:rsidRPr="00F223CF">
        <w:rPr>
          <w:rFonts w:ascii="Georgia" w:hAnsi="Georgia"/>
          <w:sz w:val="24"/>
          <w:szCs w:val="24"/>
        </w:rPr>
        <w:t>Email; 28/June/2021</w:t>
      </w:r>
    </w:p>
    <w:p w14:paraId="3E7ECA5E" w14:textId="77777777" w:rsidR="007D434A" w:rsidRPr="00F223CF" w:rsidRDefault="007D434A" w:rsidP="00194354">
      <w:pPr>
        <w:pStyle w:val="yiv4264280208msonormal"/>
        <w:shd w:val="clear" w:color="auto" w:fill="FFFFFF"/>
        <w:spacing w:before="0" w:beforeAutospacing="0" w:after="0" w:afterAutospacing="0"/>
        <w:jc w:val="both"/>
        <w:rPr>
          <w:rFonts w:ascii="Georgia" w:hAnsi="Georgia" w:cs="Arial"/>
          <w:color w:val="000000"/>
        </w:rPr>
      </w:pPr>
      <w:r w:rsidRPr="00F223CF">
        <w:rPr>
          <w:rFonts w:ascii="Georgia" w:hAnsi="Georgia" w:cs="Arial"/>
          <w:color w:val="000000"/>
        </w:rPr>
        <w:t>Thomas:</w:t>
      </w:r>
    </w:p>
    <w:p w14:paraId="2126604D" w14:textId="77777777" w:rsidR="007D434A" w:rsidRPr="00F223CF" w:rsidRDefault="007D434A" w:rsidP="00194354">
      <w:pPr>
        <w:pStyle w:val="yiv4264280208msonormal"/>
        <w:shd w:val="clear" w:color="auto" w:fill="FFFFFF"/>
        <w:spacing w:before="0" w:beforeAutospacing="0" w:after="0" w:afterAutospacing="0"/>
        <w:jc w:val="both"/>
        <w:rPr>
          <w:rFonts w:ascii="Georgia" w:hAnsi="Georgia" w:cs="Arial"/>
          <w:color w:val="000000"/>
        </w:rPr>
      </w:pPr>
      <w:r w:rsidRPr="00F223CF">
        <w:rPr>
          <w:rFonts w:ascii="Georgia" w:hAnsi="Georgia" w:cs="Arial"/>
          <w:color w:val="000000"/>
        </w:rPr>
        <w:t> </w:t>
      </w:r>
    </w:p>
    <w:p w14:paraId="2B356498" w14:textId="77777777" w:rsidR="00DF7EEF" w:rsidRDefault="007D434A" w:rsidP="00194354">
      <w:pPr>
        <w:pStyle w:val="yiv4264280208msonormal"/>
        <w:shd w:val="clear" w:color="auto" w:fill="FFFFFF"/>
        <w:spacing w:before="0" w:beforeAutospacing="0" w:after="0" w:afterAutospacing="0"/>
        <w:jc w:val="both"/>
        <w:rPr>
          <w:rFonts w:ascii="Georgia" w:hAnsi="Georgia" w:cs="Arial"/>
          <w:color w:val="000000"/>
        </w:rPr>
      </w:pPr>
      <w:r w:rsidRPr="00F223CF">
        <w:rPr>
          <w:rFonts w:ascii="Georgia" w:hAnsi="Georgia" w:cs="Arial"/>
          <w:color w:val="000000"/>
        </w:rPr>
        <w:t xml:space="preserve">Here, finally, is the Albany core log and an informal discussion of my present thoughts on the stratigraphic relationships of the various Late Eocene and earlier stratigraphic units.  It would have to be tedious for readers to wade through but there is currently no other source of this stratigraphic information in the published </w:t>
      </w:r>
      <w:proofErr w:type="gramStart"/>
      <w:r w:rsidRPr="00F223CF">
        <w:rPr>
          <w:rFonts w:ascii="Georgia" w:hAnsi="Georgia" w:cs="Arial"/>
          <w:color w:val="000000"/>
        </w:rPr>
        <w:t>literature</w:t>
      </w:r>
      <w:proofErr w:type="gramEnd"/>
      <w:r w:rsidRPr="00F223CF">
        <w:rPr>
          <w:rFonts w:ascii="Georgia" w:hAnsi="Georgia" w:cs="Arial"/>
          <w:color w:val="000000"/>
        </w:rPr>
        <w:t xml:space="preserve"> and I felt that the readers of your website needed some kind of explanation for all this razzmatazz.  </w:t>
      </w:r>
    </w:p>
    <w:p w14:paraId="301CC65F" w14:textId="77777777" w:rsidR="00DF7EEF" w:rsidRDefault="00DF7EEF" w:rsidP="00194354">
      <w:pPr>
        <w:pStyle w:val="yiv4264280208msonormal"/>
        <w:shd w:val="clear" w:color="auto" w:fill="FFFFFF"/>
        <w:spacing w:before="0" w:beforeAutospacing="0" w:after="0" w:afterAutospacing="0"/>
        <w:jc w:val="both"/>
        <w:rPr>
          <w:rFonts w:ascii="Georgia" w:hAnsi="Georgia" w:cs="Arial"/>
          <w:color w:val="000000"/>
        </w:rPr>
      </w:pPr>
    </w:p>
    <w:p w14:paraId="34742AFA" w14:textId="77777777" w:rsidR="00DF7EEF" w:rsidRDefault="007D434A" w:rsidP="00194354">
      <w:pPr>
        <w:pStyle w:val="yiv4264280208msonormal"/>
        <w:shd w:val="clear" w:color="auto" w:fill="FFFFFF"/>
        <w:spacing w:before="0" w:beforeAutospacing="0" w:after="0" w:afterAutospacing="0"/>
        <w:jc w:val="both"/>
        <w:rPr>
          <w:rFonts w:ascii="Georgia" w:hAnsi="Georgia" w:cs="Arial"/>
          <w:color w:val="000000"/>
        </w:rPr>
      </w:pPr>
      <w:r w:rsidRPr="00F223CF">
        <w:rPr>
          <w:rFonts w:ascii="Georgia" w:hAnsi="Georgia" w:cs="Arial"/>
          <w:color w:val="000000"/>
        </w:rPr>
        <w:t xml:space="preserve">What I have written below is only a first draft with two edits to try to eliminate as many of the bloopers as possible.  If readers have trouble with the Oligocene, Miocene, and Pliocene, they can refer to published literature. </w:t>
      </w:r>
    </w:p>
    <w:p w14:paraId="3AE641B1" w14:textId="77777777" w:rsidR="00DF7EEF" w:rsidRDefault="00DF7EEF" w:rsidP="00194354">
      <w:pPr>
        <w:pStyle w:val="yiv4264280208msonormal"/>
        <w:shd w:val="clear" w:color="auto" w:fill="FFFFFF"/>
        <w:spacing w:before="0" w:beforeAutospacing="0" w:after="0" w:afterAutospacing="0"/>
        <w:jc w:val="both"/>
        <w:rPr>
          <w:rFonts w:ascii="Georgia" w:hAnsi="Georgia" w:cs="Arial"/>
          <w:color w:val="000000"/>
        </w:rPr>
      </w:pPr>
    </w:p>
    <w:p w14:paraId="6903158A" w14:textId="3E874A9B" w:rsidR="000D264E" w:rsidRDefault="007D434A" w:rsidP="00194354">
      <w:pPr>
        <w:pStyle w:val="yiv4264280208msonormal"/>
        <w:shd w:val="clear" w:color="auto" w:fill="FFFFFF"/>
        <w:spacing w:before="0" w:beforeAutospacing="0" w:after="0" w:afterAutospacing="0"/>
        <w:jc w:val="both"/>
        <w:rPr>
          <w:rFonts w:ascii="Georgia" w:hAnsi="Georgia" w:cs="Arial"/>
          <w:color w:val="000000"/>
        </w:rPr>
      </w:pPr>
      <w:r w:rsidRPr="00F223CF">
        <w:rPr>
          <w:rFonts w:ascii="Georgia" w:hAnsi="Georgia" w:cs="Arial"/>
          <w:color w:val="000000"/>
        </w:rPr>
        <w:t xml:space="preserve">If I were publishing this write-up, it would take another 7 or 8 drafts and I have no idea however much more time to wade through </w:t>
      </w:r>
      <w:proofErr w:type="gramStart"/>
      <w:r w:rsidRPr="00F223CF">
        <w:rPr>
          <w:rFonts w:ascii="Georgia" w:hAnsi="Georgia" w:cs="Arial"/>
          <w:color w:val="000000"/>
        </w:rPr>
        <w:t>all of</w:t>
      </w:r>
      <w:proofErr w:type="gramEnd"/>
      <w:r w:rsidRPr="00F223CF">
        <w:rPr>
          <w:rFonts w:ascii="Georgia" w:hAnsi="Georgia" w:cs="Arial"/>
          <w:color w:val="000000"/>
        </w:rPr>
        <w:t xml:space="preserve"> the literature and relationships between cores and outcrops.  Read it over and see if you need any more information/corrections to understand what </w:t>
      </w:r>
      <w:proofErr w:type="gramStart"/>
      <w:r w:rsidRPr="00F223CF">
        <w:rPr>
          <w:rFonts w:ascii="Georgia" w:hAnsi="Georgia" w:cs="Arial"/>
          <w:color w:val="000000"/>
        </w:rPr>
        <w:t>I’m</w:t>
      </w:r>
      <w:proofErr w:type="gramEnd"/>
      <w:r w:rsidRPr="00F223CF">
        <w:rPr>
          <w:rFonts w:ascii="Georgia" w:hAnsi="Georgia" w:cs="Arial"/>
          <w:color w:val="000000"/>
        </w:rPr>
        <w:t xml:space="preserve"> trying to say.  </w:t>
      </w:r>
    </w:p>
    <w:p w14:paraId="6745E4D6" w14:textId="77777777" w:rsidR="00D30DCE" w:rsidRPr="00F223CF" w:rsidRDefault="00D30DCE" w:rsidP="00194354">
      <w:pPr>
        <w:pStyle w:val="yiv4264280208msonormal"/>
        <w:shd w:val="clear" w:color="auto" w:fill="FFFFFF"/>
        <w:spacing w:before="0" w:beforeAutospacing="0" w:after="0" w:afterAutospacing="0"/>
        <w:jc w:val="both"/>
        <w:rPr>
          <w:rFonts w:ascii="Georgia" w:hAnsi="Georgia" w:cs="Arial"/>
          <w:color w:val="000000"/>
        </w:rPr>
      </w:pPr>
    </w:p>
    <w:p w14:paraId="58492FE1" w14:textId="09464CF5" w:rsidR="007D434A" w:rsidRPr="00F223CF" w:rsidRDefault="007D434A" w:rsidP="00194354">
      <w:pPr>
        <w:pStyle w:val="yiv4264280208msonormal"/>
        <w:shd w:val="clear" w:color="auto" w:fill="FFFFFF"/>
        <w:spacing w:before="0" w:beforeAutospacing="0" w:after="0" w:afterAutospacing="0"/>
        <w:jc w:val="both"/>
        <w:rPr>
          <w:rFonts w:ascii="Georgia" w:hAnsi="Georgia" w:cs="Arial"/>
          <w:color w:val="000000"/>
        </w:rPr>
      </w:pPr>
      <w:r w:rsidRPr="00F223CF">
        <w:rPr>
          <w:rFonts w:ascii="Georgia" w:hAnsi="Georgia" w:cs="Arial"/>
          <w:color w:val="000000"/>
        </w:rPr>
        <w:t>Well, now I can get back to the Upper Eocene talk.  And I can forward this on to you and not worry anymore about pressing a wrong key and permanently deleting the whole thing.</w:t>
      </w:r>
    </w:p>
    <w:p w14:paraId="7F067A41" w14:textId="77777777" w:rsidR="00D55304" w:rsidRPr="00F223CF" w:rsidRDefault="00D55304" w:rsidP="00194354">
      <w:pPr>
        <w:pStyle w:val="yiv4264280208msonormal"/>
        <w:shd w:val="clear" w:color="auto" w:fill="FFFFFF"/>
        <w:spacing w:before="0" w:beforeAutospacing="0" w:after="0" w:afterAutospacing="0"/>
        <w:jc w:val="both"/>
        <w:rPr>
          <w:rFonts w:ascii="Georgia" w:hAnsi="Georgia" w:cs="Arial"/>
          <w:color w:val="000000"/>
        </w:rPr>
      </w:pPr>
    </w:p>
    <w:p w14:paraId="51715445" w14:textId="54749F2D" w:rsidR="007D434A" w:rsidRPr="00F223CF" w:rsidRDefault="007D434A" w:rsidP="00194354">
      <w:pPr>
        <w:pStyle w:val="yiv4264280208msonormal"/>
        <w:shd w:val="clear" w:color="auto" w:fill="FFFFFF"/>
        <w:spacing w:before="0" w:beforeAutospacing="0" w:after="0" w:afterAutospacing="0"/>
        <w:jc w:val="both"/>
        <w:rPr>
          <w:rFonts w:ascii="Georgia" w:hAnsi="Georgia" w:cs="Arial"/>
          <w:color w:val="000000"/>
        </w:rPr>
      </w:pPr>
      <w:r w:rsidRPr="00F223CF">
        <w:rPr>
          <w:rFonts w:ascii="Georgia" w:hAnsi="Georgia" w:cs="Arial"/>
          <w:color w:val="000000"/>
        </w:rPr>
        <w:t>Paul</w:t>
      </w:r>
      <w:r w:rsidR="0093626E">
        <w:rPr>
          <w:rFonts w:ascii="Georgia" w:hAnsi="Georgia" w:cs="Arial"/>
          <w:color w:val="000000"/>
        </w:rPr>
        <w:t xml:space="preserve"> </w:t>
      </w:r>
    </w:p>
    <w:p w14:paraId="65B1BEA9" w14:textId="14207533" w:rsidR="00F223CF" w:rsidRDefault="007D434A" w:rsidP="00F223CF">
      <w:pPr>
        <w:pStyle w:val="yiv4264280208msonormal"/>
        <w:shd w:val="clear" w:color="auto" w:fill="FFFFFF"/>
        <w:spacing w:before="0" w:beforeAutospacing="0" w:after="0" w:afterAutospacing="0"/>
        <w:jc w:val="both"/>
        <w:rPr>
          <w:rFonts w:ascii="Georgia" w:hAnsi="Georgia" w:cs="Arial"/>
          <w:color w:val="000000"/>
        </w:rPr>
      </w:pPr>
      <w:r w:rsidRPr="00F223CF">
        <w:rPr>
          <w:rFonts w:ascii="Georgia" w:hAnsi="Georgia" w:cs="Arial"/>
          <w:color w:val="000000"/>
        </w:rPr>
        <w:t> </w:t>
      </w:r>
    </w:p>
    <w:p w14:paraId="3C3CDC3A" w14:textId="77777777" w:rsidR="00431CF1" w:rsidRDefault="00431CF1" w:rsidP="00F223CF">
      <w:pPr>
        <w:pStyle w:val="yiv4264280208msonormal"/>
        <w:shd w:val="clear" w:color="auto" w:fill="FFFFFF"/>
        <w:spacing w:before="0" w:beforeAutospacing="0" w:after="0" w:afterAutospacing="0"/>
        <w:jc w:val="both"/>
        <w:rPr>
          <w:rFonts w:ascii="Georgia" w:hAnsi="Georgia" w:cs="Arial"/>
          <w:color w:val="000000"/>
        </w:rPr>
      </w:pPr>
    </w:p>
    <w:p w14:paraId="36EB0D4B" w14:textId="77777777" w:rsidR="00F50371" w:rsidRDefault="00D30DCE" w:rsidP="0093626E">
      <w:pPr>
        <w:pStyle w:val="yiv4264280208msonormal"/>
        <w:shd w:val="clear" w:color="auto" w:fill="FFFFFF"/>
        <w:spacing w:before="0" w:beforeAutospacing="0" w:after="0" w:afterAutospacing="0"/>
        <w:jc w:val="center"/>
        <w:rPr>
          <w:rFonts w:ascii="Georgia" w:hAnsi="Georgia" w:cs="Arial"/>
          <w:b/>
          <w:bCs/>
          <w:color w:val="000000"/>
        </w:rPr>
      </w:pPr>
      <w:r>
        <w:rPr>
          <w:rFonts w:ascii="Georgia" w:hAnsi="Georgia" w:cs="Arial"/>
          <w:b/>
          <w:bCs/>
          <w:color w:val="000000"/>
        </w:rPr>
        <w:t>Late Eocene &amp; Earlier</w:t>
      </w:r>
    </w:p>
    <w:p w14:paraId="4DA48EE3" w14:textId="7C35DF45" w:rsidR="0093626E" w:rsidRDefault="00F50371" w:rsidP="0093626E">
      <w:pPr>
        <w:pStyle w:val="yiv4264280208msonormal"/>
        <w:shd w:val="clear" w:color="auto" w:fill="FFFFFF"/>
        <w:spacing w:before="0" w:beforeAutospacing="0" w:after="0" w:afterAutospacing="0"/>
        <w:jc w:val="center"/>
        <w:rPr>
          <w:rFonts w:ascii="Georgia" w:hAnsi="Georgia" w:cs="Arial"/>
          <w:b/>
          <w:bCs/>
          <w:color w:val="000000"/>
        </w:rPr>
      </w:pPr>
      <w:r>
        <w:rPr>
          <w:rFonts w:ascii="Georgia" w:hAnsi="Georgia" w:cs="Arial"/>
          <w:b/>
          <w:bCs/>
          <w:color w:val="000000"/>
        </w:rPr>
        <w:t>Coastal Plain</w:t>
      </w:r>
      <w:r w:rsidR="00D30DCE">
        <w:rPr>
          <w:rFonts w:ascii="Georgia" w:hAnsi="Georgia" w:cs="Arial"/>
          <w:b/>
          <w:bCs/>
          <w:color w:val="000000"/>
        </w:rPr>
        <w:t xml:space="preserve"> Stratigraphy</w:t>
      </w:r>
    </w:p>
    <w:p w14:paraId="39C34AFC" w14:textId="77777777" w:rsidR="00431CF1" w:rsidRDefault="00431CF1" w:rsidP="0093626E">
      <w:pPr>
        <w:pStyle w:val="yiv4264280208msonormal"/>
        <w:shd w:val="clear" w:color="auto" w:fill="FFFFFF"/>
        <w:spacing w:before="0" w:beforeAutospacing="0" w:after="0" w:afterAutospacing="0"/>
        <w:jc w:val="center"/>
        <w:rPr>
          <w:rFonts w:ascii="Georgia" w:hAnsi="Georgia" w:cs="Arial"/>
          <w:b/>
          <w:bCs/>
          <w:color w:val="000000"/>
        </w:rPr>
      </w:pPr>
    </w:p>
    <w:p w14:paraId="5EC1F90E" w14:textId="0B6AD30E" w:rsidR="00333C51" w:rsidRPr="00333C51" w:rsidRDefault="00333C51" w:rsidP="0093626E">
      <w:pPr>
        <w:pStyle w:val="yiv4264280208msonormal"/>
        <w:shd w:val="clear" w:color="auto" w:fill="FFFFFF"/>
        <w:spacing w:before="0" w:beforeAutospacing="0" w:after="0" w:afterAutospacing="0"/>
        <w:jc w:val="center"/>
        <w:rPr>
          <w:rFonts w:ascii="Georgia" w:hAnsi="Georgia" w:cs="Arial"/>
          <w:color w:val="000000"/>
        </w:rPr>
      </w:pPr>
      <w:r>
        <w:rPr>
          <w:rFonts w:ascii="Georgia" w:hAnsi="Georgia" w:cs="Arial"/>
          <w:color w:val="000000"/>
        </w:rPr>
        <w:t>(</w:t>
      </w:r>
      <w:proofErr w:type="gramStart"/>
      <w:r>
        <w:rPr>
          <w:rFonts w:ascii="Georgia" w:hAnsi="Georgia" w:cs="Arial"/>
          <w:color w:val="000000"/>
        </w:rPr>
        <w:t>Note;</w:t>
      </w:r>
      <w:proofErr w:type="gramEnd"/>
      <w:r>
        <w:rPr>
          <w:rFonts w:ascii="Georgia" w:hAnsi="Georgia" w:cs="Arial"/>
          <w:color w:val="000000"/>
        </w:rPr>
        <w:t xml:space="preserve"> This </w:t>
      </w:r>
      <w:r w:rsidR="008E240C">
        <w:rPr>
          <w:rFonts w:ascii="Georgia" w:hAnsi="Georgia" w:cs="Arial"/>
          <w:color w:val="000000"/>
        </w:rPr>
        <w:t>explanation was only lightly edited by T. Thurman towards ease of navigation</w:t>
      </w:r>
      <w:r w:rsidR="00DE65F7">
        <w:rPr>
          <w:rFonts w:ascii="Georgia" w:hAnsi="Georgia" w:cs="Arial"/>
          <w:color w:val="000000"/>
        </w:rPr>
        <w:t xml:space="preserve"> and </w:t>
      </w:r>
      <w:r w:rsidR="001933B2">
        <w:rPr>
          <w:rFonts w:ascii="Georgia" w:hAnsi="Georgia" w:cs="Arial"/>
          <w:color w:val="000000"/>
        </w:rPr>
        <w:t>access</w:t>
      </w:r>
      <w:r w:rsidR="00DE65F7">
        <w:rPr>
          <w:rFonts w:ascii="Georgia" w:hAnsi="Georgia" w:cs="Arial"/>
          <w:color w:val="000000"/>
        </w:rPr>
        <w:t xml:space="preserve"> for readers not versed in </w:t>
      </w:r>
      <w:r w:rsidR="00E63EFB">
        <w:rPr>
          <w:rFonts w:ascii="Georgia" w:hAnsi="Georgia" w:cs="Arial"/>
          <w:color w:val="000000"/>
        </w:rPr>
        <w:t>geologic terminology</w:t>
      </w:r>
      <w:r w:rsidR="00DE65F7">
        <w:rPr>
          <w:rFonts w:ascii="Georgia" w:hAnsi="Georgia" w:cs="Arial"/>
          <w:color w:val="000000"/>
        </w:rPr>
        <w:t>.</w:t>
      </w:r>
      <w:r w:rsidR="0068467E">
        <w:rPr>
          <w:rFonts w:ascii="Georgia" w:hAnsi="Georgia" w:cs="Arial"/>
          <w:color w:val="000000"/>
        </w:rPr>
        <w:t xml:space="preserve"> Actual content was not touched.</w:t>
      </w:r>
      <w:r w:rsidR="00DE65F7">
        <w:rPr>
          <w:rFonts w:ascii="Georgia" w:hAnsi="Georgia" w:cs="Arial"/>
          <w:color w:val="000000"/>
        </w:rPr>
        <w:t>)</w:t>
      </w:r>
      <w:r w:rsidR="008E240C">
        <w:rPr>
          <w:rFonts w:ascii="Georgia" w:hAnsi="Georgia" w:cs="Arial"/>
          <w:color w:val="000000"/>
        </w:rPr>
        <w:t xml:space="preserve"> </w:t>
      </w:r>
    </w:p>
    <w:p w14:paraId="2593DB85" w14:textId="77777777" w:rsidR="00F50371" w:rsidRPr="0093626E" w:rsidRDefault="00F50371" w:rsidP="0093626E">
      <w:pPr>
        <w:pStyle w:val="yiv4264280208msonormal"/>
        <w:shd w:val="clear" w:color="auto" w:fill="FFFFFF"/>
        <w:spacing w:before="0" w:beforeAutospacing="0" w:after="0" w:afterAutospacing="0"/>
        <w:jc w:val="center"/>
        <w:rPr>
          <w:rFonts w:ascii="Georgia" w:hAnsi="Georgia" w:cs="Arial"/>
          <w:b/>
          <w:bCs/>
          <w:color w:val="000000"/>
        </w:rPr>
      </w:pPr>
    </w:p>
    <w:p w14:paraId="141AF775" w14:textId="0FF35096" w:rsidR="007D434A" w:rsidRPr="00D30DCE" w:rsidRDefault="0093626E" w:rsidP="00194354">
      <w:pPr>
        <w:pStyle w:val="yiv4264280208msonormal"/>
        <w:shd w:val="clear" w:color="auto" w:fill="FFFFFF"/>
        <w:spacing w:before="0" w:beforeAutospacing="0" w:after="0" w:afterAutospacing="0"/>
        <w:jc w:val="both"/>
        <w:rPr>
          <w:rFonts w:ascii="Georgia" w:hAnsi="Georgia" w:cs="Arial"/>
          <w:b/>
          <w:bCs/>
          <w:color w:val="000000"/>
        </w:rPr>
      </w:pPr>
      <w:r w:rsidRPr="00D30DCE">
        <w:rPr>
          <w:rFonts w:ascii="Georgia" w:hAnsi="Georgia" w:cs="Arial"/>
          <w:b/>
          <w:bCs/>
          <w:color w:val="000000"/>
        </w:rPr>
        <w:t>The Albany Core</w:t>
      </w:r>
    </w:p>
    <w:p w14:paraId="6993FE78" w14:textId="0D04335C" w:rsidR="007D434A" w:rsidRPr="00F223CF" w:rsidRDefault="007D434A" w:rsidP="00194354">
      <w:pPr>
        <w:pStyle w:val="yiv4264280208msonormal"/>
        <w:shd w:val="clear" w:color="auto" w:fill="FFFFFF"/>
        <w:spacing w:before="0" w:beforeAutospacing="0" w:after="0" w:afterAutospacing="0"/>
        <w:jc w:val="both"/>
        <w:rPr>
          <w:rFonts w:ascii="Georgia" w:hAnsi="Georgia" w:cs="Arial"/>
          <w:color w:val="000000"/>
        </w:rPr>
      </w:pPr>
      <w:r w:rsidRPr="00F223CF">
        <w:rPr>
          <w:rFonts w:ascii="Georgia" w:hAnsi="Georgia" w:cs="Arial"/>
          <w:color w:val="000000"/>
        </w:rPr>
        <w:t xml:space="preserve">The Albany core is the most critical core we have of relating the stratigraphy of the pre-Upper Eocene, classical eastern Gulf of Mexico, Alabama/Mississippi Coastal Plain sections to the eastern Georgia Coastal Plain sections south and east of the Gulf Trough. </w:t>
      </w:r>
      <w:r w:rsidRPr="00F223CF">
        <w:rPr>
          <w:rFonts w:ascii="Georgia" w:hAnsi="Georgia" w:cs="Arial"/>
          <w:color w:val="000000"/>
        </w:rPr>
        <w:lastRenderedPageBreak/>
        <w:t>The location of the Albany core is on the southeastern side of Albany and is west of the Gulf T</w:t>
      </w:r>
      <w:r w:rsidR="00214550">
        <w:rPr>
          <w:rFonts w:ascii="Georgia" w:hAnsi="Georgia" w:cs="Arial"/>
          <w:color w:val="000000"/>
        </w:rPr>
        <w:t>r</w:t>
      </w:r>
      <w:r w:rsidRPr="00F223CF">
        <w:rPr>
          <w:rFonts w:ascii="Georgia" w:hAnsi="Georgia" w:cs="Arial"/>
          <w:color w:val="000000"/>
        </w:rPr>
        <w:t>ough.  The closest intermediate Gulf T</w:t>
      </w:r>
      <w:r w:rsidR="00214550">
        <w:rPr>
          <w:rFonts w:ascii="Georgia" w:hAnsi="Georgia" w:cs="Arial"/>
          <w:color w:val="000000"/>
        </w:rPr>
        <w:t>r</w:t>
      </w:r>
      <w:r w:rsidRPr="00F223CF">
        <w:rPr>
          <w:rFonts w:ascii="Georgia" w:hAnsi="Georgia" w:cs="Arial"/>
          <w:color w:val="000000"/>
        </w:rPr>
        <w:t>ough core to the Albany core, which is outside of the T</w:t>
      </w:r>
      <w:r w:rsidR="00214550">
        <w:rPr>
          <w:rFonts w:ascii="Georgia" w:hAnsi="Georgia" w:cs="Arial"/>
          <w:color w:val="000000"/>
        </w:rPr>
        <w:t>r</w:t>
      </w:r>
      <w:r w:rsidRPr="00F223CF">
        <w:rPr>
          <w:rFonts w:ascii="Georgia" w:hAnsi="Georgia" w:cs="Arial"/>
          <w:color w:val="000000"/>
        </w:rPr>
        <w:t>ough, is the Doerun core from the northwestern corner of Colquitt County.  The Albany core contains downdip, offshore versions of the outcropping Upper Eocene and pre-Upper Eocene stratigraphic units of western Alabama.  Those Alabama sections are relatively downdip and offshore compared with the original near-shore, Alabama sections that are long eroded away and gone. The closest place to get an impression of the once far-</w:t>
      </w:r>
      <w:proofErr w:type="spellStart"/>
      <w:r w:rsidRPr="00F223CF">
        <w:rPr>
          <w:rFonts w:ascii="Georgia" w:hAnsi="Georgia" w:cs="Arial"/>
          <w:color w:val="000000"/>
        </w:rPr>
        <w:t>updip</w:t>
      </w:r>
      <w:proofErr w:type="spellEnd"/>
      <w:r w:rsidRPr="00F223CF">
        <w:rPr>
          <w:rFonts w:ascii="Georgia" w:hAnsi="Georgia" w:cs="Arial"/>
          <w:color w:val="000000"/>
        </w:rPr>
        <w:t xml:space="preserve"> Alabama sections are in Georgia east of the Flint River.  The pre-Upper Eocene sections in the Albany core are somewhat different from the modern, outcropping sections in southwestern Alabama and result in part from eastward facies change passing into the southern Atlantic Coastal Plain.</w:t>
      </w:r>
    </w:p>
    <w:p w14:paraId="6D963FEC" w14:textId="77777777" w:rsidR="007D434A" w:rsidRPr="00F223CF" w:rsidRDefault="007D434A" w:rsidP="00194354">
      <w:pPr>
        <w:pStyle w:val="yiv4264280208msonormal"/>
        <w:shd w:val="clear" w:color="auto" w:fill="FFFFFF"/>
        <w:spacing w:before="0" w:beforeAutospacing="0" w:after="0" w:afterAutospacing="0"/>
        <w:jc w:val="both"/>
        <w:rPr>
          <w:rFonts w:ascii="Georgia" w:hAnsi="Georgia" w:cs="Arial"/>
          <w:color w:val="000000"/>
        </w:rPr>
      </w:pPr>
      <w:r w:rsidRPr="00F223CF">
        <w:rPr>
          <w:rFonts w:ascii="Georgia" w:hAnsi="Georgia" w:cs="Arial"/>
          <w:color w:val="000000"/>
        </w:rPr>
        <w:t> </w:t>
      </w:r>
    </w:p>
    <w:p w14:paraId="381F2404" w14:textId="2B4D1E28" w:rsidR="007D434A" w:rsidRPr="00F223CF" w:rsidRDefault="007D434A" w:rsidP="00194354">
      <w:pPr>
        <w:pStyle w:val="yiv4264280208msonormal"/>
        <w:shd w:val="clear" w:color="auto" w:fill="FFFFFF"/>
        <w:spacing w:before="0" w:beforeAutospacing="0" w:after="0" w:afterAutospacing="0"/>
        <w:jc w:val="both"/>
        <w:rPr>
          <w:rFonts w:ascii="Georgia" w:hAnsi="Georgia" w:cs="Arial"/>
          <w:color w:val="000000"/>
        </w:rPr>
      </w:pPr>
      <w:r w:rsidRPr="00F223CF">
        <w:rPr>
          <w:rFonts w:ascii="Georgia" w:hAnsi="Georgia" w:cs="Arial"/>
          <w:color w:val="000000"/>
        </w:rPr>
        <w:t xml:space="preserve">The entire section of the cored Paleogene in the Albany core is as follows:  The Crystal River Limestone that is the prominent upper Jacksonian formation of the Ocala Group south of the Gulf Trough, is not present in the Albany core nor in outcrops in the Albany area or in other known exposures along the Flint River.  This lithofacies is somewhat more </w:t>
      </w:r>
      <w:proofErr w:type="gramStart"/>
      <w:r w:rsidRPr="00F223CF">
        <w:rPr>
          <w:rFonts w:ascii="Georgia" w:hAnsi="Georgia" w:cs="Arial"/>
          <w:color w:val="000000"/>
        </w:rPr>
        <w:t>similar to</w:t>
      </w:r>
      <w:proofErr w:type="gramEnd"/>
      <w:r w:rsidRPr="00F223CF">
        <w:rPr>
          <w:rFonts w:ascii="Georgia" w:hAnsi="Georgia" w:cs="Arial"/>
          <w:color w:val="000000"/>
        </w:rPr>
        <w:t xml:space="preserve"> the calcareous phase of the Ocmulgee</w:t>
      </w:r>
      <w:r w:rsidR="005064A1" w:rsidRPr="00F223CF">
        <w:rPr>
          <w:rFonts w:ascii="Georgia" w:hAnsi="Georgia" w:cs="Arial"/>
          <w:color w:val="000000"/>
        </w:rPr>
        <w:t xml:space="preserve"> (Formation)</w:t>
      </w:r>
      <w:r w:rsidRPr="00F223CF">
        <w:rPr>
          <w:rFonts w:ascii="Georgia" w:hAnsi="Georgia" w:cs="Arial"/>
          <w:color w:val="000000"/>
        </w:rPr>
        <w:t xml:space="preserve"> than it is to other subdivisions of the Ocala Group.  Although the type locality of the Ocmulgee is all granular limestone that is thickly bedded like that along the Flint River, almost </w:t>
      </w:r>
      <w:proofErr w:type="gramStart"/>
      <w:r w:rsidRPr="00F223CF">
        <w:rPr>
          <w:rFonts w:ascii="Georgia" w:hAnsi="Georgia" w:cs="Arial"/>
          <w:color w:val="000000"/>
        </w:rPr>
        <w:t>all of</w:t>
      </w:r>
      <w:proofErr w:type="gramEnd"/>
      <w:r w:rsidRPr="00F223CF">
        <w:rPr>
          <w:rFonts w:ascii="Georgia" w:hAnsi="Georgia" w:cs="Arial"/>
          <w:color w:val="000000"/>
        </w:rPr>
        <w:t xml:space="preserve"> the cores containing Ocmulgee contain appreciable sand, clay and marl.  The variably fossiliferous, granular limestone of the Flint River, upper Jacksonian is not known to contain these other lithic components.  On the other hand, an Ocmulgee-like limestone with an Ocmulgee planktonic foraminifera fauna is (was?) exposed in a road cut on Pecan Road west of Lake Blackshear in southeastern Sumter County.  The extent of this granular, upper Jacksonian limestone that occurs between the Ocmulgee Formation (shoreward/</w:t>
      </w:r>
      <w:proofErr w:type="spellStart"/>
      <w:r w:rsidRPr="00F223CF">
        <w:rPr>
          <w:rFonts w:ascii="Georgia" w:hAnsi="Georgia" w:cs="Arial"/>
          <w:color w:val="000000"/>
        </w:rPr>
        <w:t>updip</w:t>
      </w:r>
      <w:proofErr w:type="spellEnd"/>
      <w:r w:rsidRPr="00F223CF">
        <w:rPr>
          <w:rFonts w:ascii="Georgia" w:hAnsi="Georgia" w:cs="Arial"/>
          <w:color w:val="000000"/>
        </w:rPr>
        <w:t>) and the known occurrence of the Crystal River Limestone south of the Gulf Trough is unknown due to the lack of subsurface core information.  The granular upper Jacksonian limestone does appear to grade laterally trough</w:t>
      </w:r>
      <w:r w:rsidR="009122F8" w:rsidRPr="00F223CF">
        <w:rPr>
          <w:rFonts w:ascii="Georgia" w:hAnsi="Georgia" w:cs="Arial"/>
          <w:color w:val="000000"/>
        </w:rPr>
        <w:t>-</w:t>
      </w:r>
      <w:r w:rsidRPr="00F223CF">
        <w:rPr>
          <w:rFonts w:ascii="Georgia" w:hAnsi="Georgia" w:cs="Arial"/>
          <w:color w:val="000000"/>
        </w:rPr>
        <w:t>ward into similar granular limestone within the Gulf Trough in Colquitt County.</w:t>
      </w:r>
    </w:p>
    <w:p w14:paraId="1DB57ADB" w14:textId="77777777" w:rsidR="007D434A" w:rsidRPr="00F223CF" w:rsidRDefault="007D434A" w:rsidP="00194354">
      <w:pPr>
        <w:pStyle w:val="yiv4264280208msonormal"/>
        <w:shd w:val="clear" w:color="auto" w:fill="FFFFFF"/>
        <w:spacing w:before="0" w:beforeAutospacing="0" w:after="0" w:afterAutospacing="0"/>
        <w:jc w:val="both"/>
        <w:rPr>
          <w:rFonts w:ascii="Georgia" w:hAnsi="Georgia" w:cs="Arial"/>
          <w:color w:val="000000"/>
        </w:rPr>
      </w:pPr>
      <w:r w:rsidRPr="00F223CF">
        <w:rPr>
          <w:rFonts w:ascii="Georgia" w:hAnsi="Georgia" w:cs="Arial"/>
          <w:color w:val="000000"/>
        </w:rPr>
        <w:t> </w:t>
      </w:r>
    </w:p>
    <w:p w14:paraId="5636EF63" w14:textId="77777777" w:rsidR="007D434A" w:rsidRPr="00F223CF" w:rsidRDefault="007D434A" w:rsidP="00194354">
      <w:pPr>
        <w:pStyle w:val="yiv4264280208msonormal"/>
        <w:shd w:val="clear" w:color="auto" w:fill="FFFFFF"/>
        <w:spacing w:before="0" w:beforeAutospacing="0" w:after="0" w:afterAutospacing="0"/>
        <w:jc w:val="both"/>
        <w:rPr>
          <w:rFonts w:ascii="Georgia" w:hAnsi="Georgia" w:cs="Arial"/>
          <w:color w:val="000000"/>
        </w:rPr>
      </w:pPr>
      <w:r w:rsidRPr="00F223CF">
        <w:rPr>
          <w:rFonts w:ascii="Georgia" w:hAnsi="Georgia" w:cs="Arial"/>
          <w:color w:val="000000"/>
        </w:rPr>
        <w:t>The distribution of upper Jacksonian lithostratigraphic units, starting with the most up dip, coastward deposits is as follows:</w:t>
      </w:r>
    </w:p>
    <w:p w14:paraId="77A56288" w14:textId="77777777" w:rsidR="00413393" w:rsidRPr="00F223CF" w:rsidRDefault="00413393" w:rsidP="003D24A5">
      <w:pPr>
        <w:pStyle w:val="yiv4264280208msonormal"/>
        <w:shd w:val="clear" w:color="auto" w:fill="FFFFFF"/>
        <w:spacing w:before="0" w:beforeAutospacing="0" w:after="0" w:afterAutospacing="0"/>
        <w:jc w:val="both"/>
        <w:rPr>
          <w:rFonts w:ascii="Georgia" w:hAnsi="Georgia" w:cs="Arial"/>
          <w:color w:val="000000"/>
        </w:rPr>
      </w:pPr>
    </w:p>
    <w:p w14:paraId="6E3B0712" w14:textId="3784AB1E" w:rsidR="00413393" w:rsidRPr="00992E3C" w:rsidRDefault="00413393" w:rsidP="003D24A5">
      <w:pPr>
        <w:pStyle w:val="yiv4264280208msonormal"/>
        <w:shd w:val="clear" w:color="auto" w:fill="FFFFFF"/>
        <w:spacing w:before="0" w:beforeAutospacing="0" w:after="0" w:afterAutospacing="0"/>
        <w:jc w:val="both"/>
        <w:rPr>
          <w:rFonts w:ascii="Georgia" w:hAnsi="Georgia" w:cs="Arial"/>
          <w:b/>
          <w:bCs/>
          <w:color w:val="000000"/>
        </w:rPr>
      </w:pPr>
      <w:r w:rsidRPr="00992E3C">
        <w:rPr>
          <w:rFonts w:ascii="Georgia" w:hAnsi="Georgia" w:cs="Arial"/>
          <w:b/>
          <w:bCs/>
          <w:color w:val="000000"/>
        </w:rPr>
        <w:t>The Tobacco Road Sand</w:t>
      </w:r>
    </w:p>
    <w:p w14:paraId="1CB9D5FA" w14:textId="0DCC35DD" w:rsidR="00F83890" w:rsidRPr="00F223CF" w:rsidRDefault="002074CC" w:rsidP="003D24A5">
      <w:pPr>
        <w:pStyle w:val="yiv4264280208msonormal"/>
        <w:shd w:val="clear" w:color="auto" w:fill="FFFFFF"/>
        <w:spacing w:before="0" w:beforeAutospacing="0" w:after="0" w:afterAutospacing="0"/>
        <w:jc w:val="both"/>
        <w:rPr>
          <w:rFonts w:ascii="Georgia" w:hAnsi="Georgia" w:cs="Arial"/>
          <w:color w:val="000000"/>
        </w:rPr>
      </w:pPr>
      <w:r w:rsidRPr="00F223CF">
        <w:rPr>
          <w:rFonts w:ascii="Georgia" w:hAnsi="Georgia" w:cs="Arial"/>
          <w:color w:val="000000"/>
        </w:rPr>
        <w:t>T</w:t>
      </w:r>
      <w:r w:rsidR="007D434A" w:rsidRPr="00F223CF">
        <w:rPr>
          <w:rFonts w:ascii="Georgia" w:hAnsi="Georgia" w:cs="Arial"/>
          <w:color w:val="000000"/>
        </w:rPr>
        <w:t xml:space="preserve">he Tobacco Road Sand, of the mostly siliciclastic Barnwell Group, is there farthest </w:t>
      </w:r>
      <w:proofErr w:type="spellStart"/>
      <w:r w:rsidR="007D434A" w:rsidRPr="00F223CF">
        <w:rPr>
          <w:rFonts w:ascii="Georgia" w:hAnsi="Georgia" w:cs="Arial"/>
          <w:color w:val="000000"/>
        </w:rPr>
        <w:t>updip</w:t>
      </w:r>
      <w:proofErr w:type="spellEnd"/>
      <w:r w:rsidR="007D434A" w:rsidRPr="00F223CF">
        <w:rPr>
          <w:rFonts w:ascii="Georgia" w:hAnsi="Georgia" w:cs="Arial"/>
          <w:color w:val="000000"/>
        </w:rPr>
        <w:t xml:space="preserve"> deposit of the upper Jackson.  It</w:t>
      </w:r>
      <w:r w:rsidRPr="00F223CF">
        <w:rPr>
          <w:rFonts w:ascii="Georgia" w:hAnsi="Georgia" w:cs="Arial"/>
          <w:color w:val="000000"/>
        </w:rPr>
        <w:t xml:space="preserve"> </w:t>
      </w:r>
      <w:r w:rsidR="007D434A" w:rsidRPr="00F223CF">
        <w:rPr>
          <w:rFonts w:ascii="Georgia" w:hAnsi="Georgia" w:cs="Arial"/>
          <w:color w:val="000000"/>
        </w:rPr>
        <w:t>occurs almost to the Fall Line in Washington County but is more distant from the Fall Line area in east and west of</w:t>
      </w:r>
      <w:r w:rsidRPr="00F223CF">
        <w:rPr>
          <w:rFonts w:ascii="Georgia" w:hAnsi="Georgia" w:cs="Arial"/>
          <w:color w:val="000000"/>
        </w:rPr>
        <w:t xml:space="preserve"> </w:t>
      </w:r>
      <w:r w:rsidR="007D434A" w:rsidRPr="00F223CF">
        <w:rPr>
          <w:rFonts w:ascii="Georgia" w:hAnsi="Georgia" w:cs="Arial"/>
          <w:color w:val="000000"/>
        </w:rPr>
        <w:t>Washington County.  The Tobacco Road is of coastal beach to shoreface origin.  It contains a localized limestone member, the</w:t>
      </w:r>
      <w:r w:rsidRPr="00F223CF">
        <w:rPr>
          <w:rFonts w:ascii="Georgia" w:hAnsi="Georgia" w:cs="Arial"/>
          <w:color w:val="000000"/>
        </w:rPr>
        <w:t xml:space="preserve"> </w:t>
      </w:r>
      <w:r w:rsidR="007D434A" w:rsidRPr="00F223CF">
        <w:rPr>
          <w:rFonts w:ascii="Georgia" w:hAnsi="Georgia" w:cs="Arial"/>
          <w:color w:val="000000"/>
        </w:rPr>
        <w:t>Sandersville Limestone, that is restricted to the central part of Washington County.  </w:t>
      </w:r>
    </w:p>
    <w:p w14:paraId="3A059768" w14:textId="77777777" w:rsidR="00413393" w:rsidRPr="00F223CF" w:rsidRDefault="00413393" w:rsidP="00413393">
      <w:pPr>
        <w:pStyle w:val="yiv4264280208msonormal"/>
        <w:shd w:val="clear" w:color="auto" w:fill="FFFFFF"/>
        <w:spacing w:before="0" w:beforeAutospacing="0" w:after="0" w:afterAutospacing="0"/>
        <w:jc w:val="both"/>
        <w:rPr>
          <w:rFonts w:ascii="Georgia" w:hAnsi="Georgia" w:cs="Arial"/>
          <w:color w:val="000000"/>
        </w:rPr>
      </w:pPr>
    </w:p>
    <w:p w14:paraId="3C3AD185" w14:textId="1870CA17" w:rsidR="00413393" w:rsidRPr="00992E3C" w:rsidRDefault="00413393" w:rsidP="00413393">
      <w:pPr>
        <w:pStyle w:val="yiv4264280208msonormal"/>
        <w:shd w:val="clear" w:color="auto" w:fill="FFFFFF"/>
        <w:spacing w:before="0" w:beforeAutospacing="0" w:after="0" w:afterAutospacing="0"/>
        <w:jc w:val="both"/>
        <w:rPr>
          <w:rFonts w:ascii="Georgia" w:hAnsi="Georgia" w:cs="Arial"/>
          <w:b/>
          <w:bCs/>
          <w:color w:val="000000"/>
        </w:rPr>
      </w:pPr>
      <w:r w:rsidRPr="00992E3C">
        <w:rPr>
          <w:rFonts w:ascii="Georgia" w:hAnsi="Georgia" w:cs="Arial"/>
          <w:b/>
          <w:bCs/>
          <w:color w:val="000000"/>
        </w:rPr>
        <w:t>The Sandersville Limestone</w:t>
      </w:r>
    </w:p>
    <w:p w14:paraId="4770644D" w14:textId="1AA4B830" w:rsidR="00AC54DF" w:rsidRPr="00F223CF" w:rsidRDefault="007D434A" w:rsidP="00413393">
      <w:pPr>
        <w:pStyle w:val="yiv4264280208msonormal"/>
        <w:shd w:val="clear" w:color="auto" w:fill="FFFFFF"/>
        <w:spacing w:before="0" w:beforeAutospacing="0" w:after="0" w:afterAutospacing="0"/>
        <w:jc w:val="both"/>
        <w:rPr>
          <w:rFonts w:ascii="Georgia" w:hAnsi="Georgia" w:cs="Arial"/>
          <w:color w:val="000000"/>
        </w:rPr>
      </w:pPr>
      <w:r w:rsidRPr="00F223CF">
        <w:rPr>
          <w:rFonts w:ascii="Georgia" w:hAnsi="Georgia" w:cs="Arial"/>
          <w:color w:val="000000"/>
        </w:rPr>
        <w:lastRenderedPageBreak/>
        <w:t>The Sandersville Limestone is interpreted</w:t>
      </w:r>
      <w:r w:rsidR="002074CC" w:rsidRPr="00F223CF">
        <w:rPr>
          <w:rFonts w:ascii="Georgia" w:hAnsi="Georgia" w:cs="Arial"/>
          <w:color w:val="000000"/>
        </w:rPr>
        <w:t xml:space="preserve"> </w:t>
      </w:r>
      <w:r w:rsidRPr="00F223CF">
        <w:rPr>
          <w:rFonts w:ascii="Georgia" w:hAnsi="Georgia" w:cs="Arial"/>
          <w:color w:val="000000"/>
        </w:rPr>
        <w:t>to have been deposited in a very shallow water, coastal Bay that was temporarily isolated from rivers/coastal marine drift</w:t>
      </w:r>
      <w:r w:rsidR="002074CC" w:rsidRPr="00F223CF">
        <w:rPr>
          <w:rFonts w:ascii="Georgia" w:hAnsi="Georgia" w:cs="Arial"/>
          <w:color w:val="000000"/>
        </w:rPr>
        <w:t xml:space="preserve"> </w:t>
      </w:r>
      <w:r w:rsidRPr="00F223CF">
        <w:rPr>
          <w:rFonts w:ascii="Georgia" w:hAnsi="Georgia" w:cs="Arial"/>
          <w:color w:val="000000"/>
        </w:rPr>
        <w:t>supplies of sand.</w:t>
      </w:r>
      <w:r w:rsidR="00AF787C" w:rsidRPr="00F223CF">
        <w:rPr>
          <w:rFonts w:ascii="Georgia" w:hAnsi="Georgia" w:cs="Arial"/>
          <w:color w:val="000000"/>
        </w:rPr>
        <w:t xml:space="preserve"> </w:t>
      </w:r>
      <w:r w:rsidRPr="00F223CF">
        <w:rPr>
          <w:rFonts w:ascii="Georgia" w:hAnsi="Georgia" w:cs="Arial"/>
          <w:color w:val="000000"/>
        </w:rPr>
        <w:t xml:space="preserve">The </w:t>
      </w:r>
      <w:r w:rsidR="00AC54DF" w:rsidRPr="00F223CF">
        <w:rPr>
          <w:rFonts w:ascii="Georgia" w:hAnsi="Georgia" w:cs="Arial"/>
          <w:color w:val="000000"/>
        </w:rPr>
        <w:t xml:space="preserve">Sandersville </w:t>
      </w:r>
      <w:r w:rsidRPr="00F223CF">
        <w:rPr>
          <w:rFonts w:ascii="Georgia" w:hAnsi="Georgia" w:cs="Arial"/>
          <w:color w:val="000000"/>
        </w:rPr>
        <w:t>Formation grades, rather abruptly over a few miles seaward into the Ocmulgee Formation.</w:t>
      </w:r>
      <w:r w:rsidR="002074CC" w:rsidRPr="00F223CF">
        <w:rPr>
          <w:rFonts w:ascii="Georgia" w:hAnsi="Georgia" w:cs="Arial"/>
          <w:color w:val="000000"/>
        </w:rPr>
        <w:t xml:space="preserve"> </w:t>
      </w:r>
    </w:p>
    <w:p w14:paraId="05CD0C29" w14:textId="26582815" w:rsidR="00413393" w:rsidRPr="00F223CF" w:rsidRDefault="00413393" w:rsidP="00AF787C">
      <w:pPr>
        <w:pStyle w:val="yiv4264280208msonormal"/>
        <w:shd w:val="clear" w:color="auto" w:fill="FFFFFF"/>
        <w:spacing w:before="0" w:beforeAutospacing="0" w:after="0" w:afterAutospacing="0"/>
        <w:jc w:val="both"/>
        <w:rPr>
          <w:rFonts w:ascii="Georgia" w:hAnsi="Georgia" w:cs="Arial"/>
          <w:color w:val="000000"/>
        </w:rPr>
      </w:pPr>
    </w:p>
    <w:p w14:paraId="1F068765" w14:textId="4B7505F2" w:rsidR="00413393" w:rsidRPr="00992E3C" w:rsidRDefault="00413393" w:rsidP="00AF787C">
      <w:pPr>
        <w:pStyle w:val="yiv4264280208msonormal"/>
        <w:shd w:val="clear" w:color="auto" w:fill="FFFFFF"/>
        <w:spacing w:before="0" w:beforeAutospacing="0" w:after="0" w:afterAutospacing="0"/>
        <w:jc w:val="both"/>
        <w:rPr>
          <w:rFonts w:ascii="Georgia" w:hAnsi="Georgia" w:cs="Arial"/>
          <w:b/>
          <w:bCs/>
          <w:color w:val="000000"/>
        </w:rPr>
      </w:pPr>
      <w:r w:rsidRPr="00992E3C">
        <w:rPr>
          <w:rFonts w:ascii="Georgia" w:hAnsi="Georgia" w:cs="Arial"/>
          <w:b/>
          <w:bCs/>
          <w:color w:val="000000"/>
        </w:rPr>
        <w:t>The Ocmulgee Formation</w:t>
      </w:r>
    </w:p>
    <w:p w14:paraId="1556717A" w14:textId="36D07767" w:rsidR="007D434A" w:rsidRPr="00F223CF" w:rsidRDefault="007D434A" w:rsidP="00194354">
      <w:pPr>
        <w:pStyle w:val="yiv4264280208msonormal"/>
        <w:shd w:val="clear" w:color="auto" w:fill="FFFFFF"/>
        <w:spacing w:before="0" w:beforeAutospacing="0" w:after="0" w:afterAutospacing="0"/>
        <w:jc w:val="both"/>
        <w:rPr>
          <w:rFonts w:ascii="Georgia" w:hAnsi="Georgia" w:cs="Arial"/>
          <w:color w:val="000000"/>
        </w:rPr>
      </w:pPr>
      <w:r w:rsidRPr="00F223CF">
        <w:rPr>
          <w:rFonts w:ascii="Georgia" w:hAnsi="Georgia" w:cs="Arial"/>
          <w:color w:val="000000"/>
        </w:rPr>
        <w:t>The Ocmulgee</w:t>
      </w:r>
      <w:r w:rsidR="003D24A5" w:rsidRPr="00F223CF">
        <w:rPr>
          <w:rFonts w:ascii="Georgia" w:hAnsi="Georgia" w:cs="Arial"/>
          <w:color w:val="000000"/>
        </w:rPr>
        <w:t xml:space="preserve"> (Formation)</w:t>
      </w:r>
      <w:r w:rsidRPr="00F223CF">
        <w:rPr>
          <w:rFonts w:ascii="Georgia" w:hAnsi="Georgia" w:cs="Arial"/>
          <w:color w:val="000000"/>
        </w:rPr>
        <w:t xml:space="preserve"> is a formation of inner neritic, shelf-bottom origin that contains an appreciable content of clay and argillaceous</w:t>
      </w:r>
      <w:r w:rsidR="00413393" w:rsidRPr="00F223CF">
        <w:rPr>
          <w:rFonts w:ascii="Georgia" w:hAnsi="Georgia" w:cs="Arial"/>
          <w:color w:val="000000"/>
        </w:rPr>
        <w:t xml:space="preserve"> </w:t>
      </w:r>
      <w:r w:rsidRPr="00F223CF">
        <w:rPr>
          <w:rFonts w:ascii="Georgia" w:hAnsi="Georgia" w:cs="Arial"/>
          <w:color w:val="000000"/>
        </w:rPr>
        <w:t>sand beds in cores.  The Ocmulgee clay and sand beds are not encountered in outcropping Ocmulgee Formation due to lack of</w:t>
      </w:r>
      <w:r w:rsidR="002074CC" w:rsidRPr="00F223CF">
        <w:rPr>
          <w:rFonts w:ascii="Georgia" w:hAnsi="Georgia" w:cs="Arial"/>
          <w:color w:val="000000"/>
        </w:rPr>
        <w:t xml:space="preserve"> </w:t>
      </w:r>
      <w:r w:rsidRPr="00F223CF">
        <w:rPr>
          <w:rFonts w:ascii="Georgia" w:hAnsi="Georgia" w:cs="Arial"/>
          <w:color w:val="000000"/>
        </w:rPr>
        <w:t xml:space="preserve">resistance to weathering in the </w:t>
      </w:r>
      <w:r w:rsidR="006D0FAA" w:rsidRPr="00F223CF">
        <w:rPr>
          <w:rFonts w:ascii="Georgia" w:hAnsi="Georgia" w:cs="Arial"/>
          <w:color w:val="000000"/>
        </w:rPr>
        <w:t xml:space="preserve">South Georgia </w:t>
      </w:r>
      <w:r w:rsidRPr="00F223CF">
        <w:rPr>
          <w:rFonts w:ascii="Georgia" w:hAnsi="Georgia" w:cs="Arial"/>
          <w:color w:val="000000"/>
        </w:rPr>
        <w:t xml:space="preserve">climate. The Ocmulgee unexpectedly contains a </w:t>
      </w:r>
      <w:proofErr w:type="gramStart"/>
      <w:r w:rsidRPr="00F223CF">
        <w:rPr>
          <w:rFonts w:ascii="Georgia" w:hAnsi="Georgia" w:cs="Arial"/>
          <w:color w:val="000000"/>
        </w:rPr>
        <w:t>fairly diverse</w:t>
      </w:r>
      <w:proofErr w:type="gramEnd"/>
      <w:r w:rsidRPr="00F223CF">
        <w:rPr>
          <w:rFonts w:ascii="Georgia" w:hAnsi="Georgia" w:cs="Arial"/>
          <w:color w:val="000000"/>
        </w:rPr>
        <w:t xml:space="preserve"> suite of</w:t>
      </w:r>
      <w:r w:rsidR="00F63CFB" w:rsidRPr="00F223CF">
        <w:rPr>
          <w:rFonts w:ascii="Georgia" w:hAnsi="Georgia" w:cs="Arial"/>
          <w:color w:val="000000"/>
        </w:rPr>
        <w:t xml:space="preserve"> </w:t>
      </w:r>
      <w:r w:rsidRPr="00F223CF">
        <w:rPr>
          <w:rFonts w:ascii="Georgia" w:hAnsi="Georgia" w:cs="Arial"/>
          <w:color w:val="000000"/>
        </w:rPr>
        <w:t>planktonic microfossils along with the sand dollar, </w:t>
      </w:r>
      <w:r w:rsidRPr="00F223CF">
        <w:rPr>
          <w:rFonts w:ascii="Georgia" w:hAnsi="Georgia" w:cs="Arial"/>
          <w:i/>
          <w:iCs/>
          <w:color w:val="000000"/>
        </w:rPr>
        <w:t xml:space="preserve">Periarchus </w:t>
      </w:r>
      <w:proofErr w:type="spellStart"/>
      <w:r w:rsidRPr="00F223CF">
        <w:rPr>
          <w:rFonts w:ascii="Georgia" w:hAnsi="Georgia" w:cs="Arial"/>
          <w:i/>
          <w:iCs/>
          <w:color w:val="000000"/>
        </w:rPr>
        <w:t>quinquefarius</w:t>
      </w:r>
      <w:proofErr w:type="spellEnd"/>
      <w:r w:rsidRPr="00F223CF">
        <w:rPr>
          <w:rFonts w:ascii="Georgia" w:hAnsi="Georgia" w:cs="Arial"/>
          <w:color w:val="000000"/>
        </w:rPr>
        <w:t> and </w:t>
      </w:r>
      <w:r w:rsidRPr="00F223CF">
        <w:rPr>
          <w:rFonts w:ascii="Georgia" w:hAnsi="Georgia" w:cs="Arial"/>
          <w:i/>
          <w:iCs/>
          <w:color w:val="000000"/>
        </w:rPr>
        <w:t>P</w:t>
      </w:r>
      <w:r w:rsidR="006D0FAA" w:rsidRPr="00F223CF">
        <w:rPr>
          <w:rFonts w:ascii="Georgia" w:hAnsi="Georgia" w:cs="Arial"/>
          <w:i/>
          <w:iCs/>
          <w:color w:val="000000"/>
        </w:rPr>
        <w:t xml:space="preserve">eriarchus </w:t>
      </w:r>
      <w:proofErr w:type="spellStart"/>
      <w:r w:rsidRPr="00F223CF">
        <w:rPr>
          <w:rFonts w:ascii="Georgia" w:hAnsi="Georgia" w:cs="Arial"/>
          <w:i/>
          <w:iCs/>
          <w:color w:val="000000"/>
        </w:rPr>
        <w:t>quinquefarius</w:t>
      </w:r>
      <w:proofErr w:type="spellEnd"/>
      <w:r w:rsidRPr="00F223CF">
        <w:rPr>
          <w:rFonts w:ascii="Georgia" w:hAnsi="Georgia" w:cs="Arial"/>
          <w:i/>
          <w:iCs/>
          <w:color w:val="000000"/>
        </w:rPr>
        <w:t xml:space="preserve"> </w:t>
      </w:r>
      <w:proofErr w:type="spellStart"/>
      <w:r w:rsidRPr="00F223CF">
        <w:rPr>
          <w:rFonts w:ascii="Georgia" w:hAnsi="Georgia" w:cs="Arial"/>
          <w:i/>
          <w:iCs/>
          <w:color w:val="000000"/>
        </w:rPr>
        <w:t>kewi</w:t>
      </w:r>
      <w:proofErr w:type="spellEnd"/>
      <w:r w:rsidRPr="00F223CF">
        <w:rPr>
          <w:rFonts w:ascii="Georgia" w:hAnsi="Georgia" w:cs="Arial"/>
          <w:color w:val="000000"/>
        </w:rPr>
        <w:t>.  The most reasonable</w:t>
      </w:r>
      <w:r w:rsidR="006D0FAA" w:rsidRPr="00F223CF">
        <w:rPr>
          <w:rFonts w:ascii="Georgia" w:hAnsi="Georgia" w:cs="Arial"/>
          <w:color w:val="000000"/>
        </w:rPr>
        <w:t xml:space="preserve"> </w:t>
      </w:r>
      <w:r w:rsidRPr="00F223CF">
        <w:rPr>
          <w:rFonts w:ascii="Georgia" w:hAnsi="Georgia" w:cs="Arial"/>
          <w:color w:val="000000"/>
        </w:rPr>
        <w:t>interpretation for this unusual mix of open-marine, normal salinity, planktonic microfossils with normally coastal</w:t>
      </w:r>
      <w:r w:rsidR="006D0FAA" w:rsidRPr="00F223CF">
        <w:rPr>
          <w:rFonts w:ascii="Georgia" w:hAnsi="Georgia" w:cs="Arial"/>
          <w:color w:val="000000"/>
        </w:rPr>
        <w:t xml:space="preserve"> </w:t>
      </w:r>
      <w:r w:rsidRPr="00F223CF">
        <w:rPr>
          <w:rFonts w:ascii="Georgia" w:hAnsi="Georgia" w:cs="Arial"/>
          <w:color w:val="000000"/>
        </w:rPr>
        <w:t>environment sand dollars, is the presence of strong currents in the continental shelf environment during the late Jacksonian.</w:t>
      </w:r>
      <w:r w:rsidR="006D0FAA" w:rsidRPr="00F223CF">
        <w:rPr>
          <w:rFonts w:ascii="Georgia" w:hAnsi="Georgia" w:cs="Arial"/>
          <w:color w:val="000000"/>
        </w:rPr>
        <w:t xml:space="preserve"> </w:t>
      </w:r>
      <w:r w:rsidRPr="00F223CF">
        <w:rPr>
          <w:rFonts w:ascii="Georgia" w:hAnsi="Georgia" w:cs="Arial"/>
          <w:color w:val="000000"/>
        </w:rPr>
        <w:t>Such microorganisms are adapted to a relatively stable, open marine environment would not last long on entering coastal</w:t>
      </w:r>
      <w:r w:rsidR="00194CF4" w:rsidRPr="00F223CF">
        <w:rPr>
          <w:rFonts w:ascii="Georgia" w:hAnsi="Georgia" w:cs="Arial"/>
          <w:color w:val="000000"/>
        </w:rPr>
        <w:t xml:space="preserve"> </w:t>
      </w:r>
      <w:r w:rsidRPr="00F223CF">
        <w:rPr>
          <w:rFonts w:ascii="Georgia" w:hAnsi="Georgia" w:cs="Arial"/>
          <w:color w:val="000000"/>
        </w:rPr>
        <w:t>waters with fluctuating physical conditions.</w:t>
      </w:r>
      <w:r w:rsidR="00194CF4" w:rsidRPr="00F223CF">
        <w:rPr>
          <w:rFonts w:ascii="Georgia" w:hAnsi="Georgia" w:cs="Arial"/>
          <w:color w:val="000000"/>
        </w:rPr>
        <w:t xml:space="preserve"> </w:t>
      </w:r>
      <w:r w:rsidRPr="00F223CF">
        <w:rPr>
          <w:rFonts w:ascii="Georgia" w:hAnsi="Georgia" w:cs="Arial"/>
          <w:color w:val="000000"/>
        </w:rPr>
        <w:t>The nature of the offshore gradation of the Ocmulgee Formation into a more open marine limestone is largely unknown in</w:t>
      </w:r>
      <w:r w:rsidR="00194CF4" w:rsidRPr="00F223CF">
        <w:rPr>
          <w:rFonts w:ascii="Georgia" w:hAnsi="Georgia" w:cs="Arial"/>
          <w:color w:val="000000"/>
        </w:rPr>
        <w:t xml:space="preserve"> </w:t>
      </w:r>
      <w:r w:rsidRPr="00F223CF">
        <w:rPr>
          <w:rFonts w:ascii="Georgia" w:hAnsi="Georgia" w:cs="Arial"/>
          <w:color w:val="000000"/>
        </w:rPr>
        <w:t>central Georgia due to lack of adequate, downdip core control in central Georgia north of the Gulf Trough.</w:t>
      </w:r>
      <w:r w:rsidR="0082669A" w:rsidRPr="00F223CF">
        <w:rPr>
          <w:rFonts w:ascii="Georgia" w:hAnsi="Georgia" w:cs="Arial"/>
          <w:color w:val="000000"/>
        </w:rPr>
        <w:t xml:space="preserve"> </w:t>
      </w:r>
      <w:r w:rsidRPr="00F223CF">
        <w:rPr>
          <w:rFonts w:ascii="Georgia" w:hAnsi="Georgia" w:cs="Arial"/>
          <w:color w:val="000000"/>
        </w:rPr>
        <w:t>Within the Gulf</w:t>
      </w:r>
      <w:r w:rsidR="00642F38" w:rsidRPr="00F223CF">
        <w:rPr>
          <w:rFonts w:ascii="Georgia" w:hAnsi="Georgia" w:cs="Arial"/>
          <w:color w:val="000000"/>
        </w:rPr>
        <w:t xml:space="preserve"> </w:t>
      </w:r>
      <w:r w:rsidRPr="00F223CF">
        <w:rPr>
          <w:rFonts w:ascii="Georgia" w:hAnsi="Georgia" w:cs="Arial"/>
          <w:color w:val="000000"/>
        </w:rPr>
        <w:t xml:space="preserve">Trough, however, the upper Jacksonian </w:t>
      </w:r>
      <w:r w:rsidR="0082669A" w:rsidRPr="00F223CF">
        <w:rPr>
          <w:rFonts w:ascii="Georgia" w:hAnsi="Georgia" w:cs="Arial"/>
          <w:color w:val="000000"/>
        </w:rPr>
        <w:t xml:space="preserve">(Ocmulgee Formation) </w:t>
      </w:r>
      <w:r w:rsidRPr="00F223CF">
        <w:rPr>
          <w:rFonts w:ascii="Georgia" w:hAnsi="Georgia" w:cs="Arial"/>
          <w:color w:val="000000"/>
        </w:rPr>
        <w:t>limestone is mostly a finely to very finely granular limestone that contains some</w:t>
      </w:r>
      <w:r w:rsidR="00642F38" w:rsidRPr="00F223CF">
        <w:rPr>
          <w:rFonts w:ascii="Georgia" w:hAnsi="Georgia" w:cs="Arial"/>
          <w:color w:val="000000"/>
        </w:rPr>
        <w:t xml:space="preserve"> </w:t>
      </w:r>
      <w:proofErr w:type="spellStart"/>
      <w:r w:rsidRPr="00F223CF">
        <w:rPr>
          <w:rFonts w:ascii="Georgia" w:hAnsi="Georgia" w:cs="Arial"/>
          <w:color w:val="000000"/>
        </w:rPr>
        <w:t>sucrosic</w:t>
      </w:r>
      <w:proofErr w:type="spellEnd"/>
      <w:r w:rsidRPr="00F223CF">
        <w:rPr>
          <w:rFonts w:ascii="Georgia" w:hAnsi="Georgia" w:cs="Arial"/>
          <w:color w:val="000000"/>
        </w:rPr>
        <w:t xml:space="preserve"> dolostone beds in some cores; is variably glauconitic to nil glauconite; slightly and variably very finely sandy to</w:t>
      </w:r>
      <w:r w:rsidR="007B50E0" w:rsidRPr="00F223CF">
        <w:rPr>
          <w:rFonts w:ascii="Georgia" w:hAnsi="Georgia" w:cs="Arial"/>
          <w:color w:val="000000"/>
        </w:rPr>
        <w:t xml:space="preserve"> </w:t>
      </w:r>
      <w:r w:rsidRPr="00F223CF">
        <w:rPr>
          <w:rFonts w:ascii="Georgia" w:hAnsi="Georgia" w:cs="Arial"/>
          <w:color w:val="000000"/>
        </w:rPr>
        <w:t xml:space="preserve">mostly nil sand, some minor chert and pyrite; minor traces of mica; </w:t>
      </w:r>
      <w:proofErr w:type="spellStart"/>
      <w:r w:rsidRPr="00F223CF">
        <w:rPr>
          <w:rFonts w:ascii="Georgia" w:hAnsi="Georgia" w:cs="Arial"/>
          <w:color w:val="000000"/>
        </w:rPr>
        <w:t>lignitic</w:t>
      </w:r>
      <w:proofErr w:type="spellEnd"/>
      <w:r w:rsidRPr="00F223CF">
        <w:rPr>
          <w:rFonts w:ascii="Georgia" w:hAnsi="Georgia" w:cs="Arial"/>
          <w:color w:val="000000"/>
        </w:rPr>
        <w:t xml:space="preserve"> material and rare, fine phosphatic, </w:t>
      </w:r>
      <w:proofErr w:type="spellStart"/>
      <w:r w:rsidRPr="00F223CF">
        <w:rPr>
          <w:rFonts w:ascii="Georgia" w:hAnsi="Georgia" w:cs="Arial"/>
          <w:color w:val="000000"/>
        </w:rPr>
        <w:t>biodebris</w:t>
      </w:r>
      <w:proofErr w:type="spellEnd"/>
      <w:r w:rsidRPr="00F223CF">
        <w:rPr>
          <w:rFonts w:ascii="Georgia" w:hAnsi="Georgia" w:cs="Arial"/>
          <w:color w:val="000000"/>
        </w:rPr>
        <w:t xml:space="preserve"> and</w:t>
      </w:r>
      <w:r w:rsidR="007B50E0" w:rsidRPr="00F223CF">
        <w:rPr>
          <w:rFonts w:ascii="Georgia" w:hAnsi="Georgia" w:cs="Arial"/>
          <w:color w:val="000000"/>
        </w:rPr>
        <w:t xml:space="preserve"> </w:t>
      </w:r>
      <w:r w:rsidRPr="00F223CF">
        <w:rPr>
          <w:rFonts w:ascii="Georgia" w:hAnsi="Georgia" w:cs="Arial"/>
          <w:color w:val="000000"/>
        </w:rPr>
        <w:t xml:space="preserve">carbonaceous flecks; and minor and scattered occurrences of macrofossils including bryozoans, </w:t>
      </w:r>
      <w:proofErr w:type="spellStart"/>
      <w:r w:rsidRPr="00F223CF">
        <w:rPr>
          <w:rFonts w:ascii="Georgia" w:hAnsi="Georgia" w:cs="Arial"/>
          <w:color w:val="000000"/>
        </w:rPr>
        <w:t>Discocyclinid</w:t>
      </w:r>
      <w:proofErr w:type="spellEnd"/>
      <w:r w:rsidRPr="00F223CF">
        <w:rPr>
          <w:rFonts w:ascii="Georgia" w:hAnsi="Georgia" w:cs="Arial"/>
          <w:color w:val="000000"/>
        </w:rPr>
        <w:t xml:space="preserve"> larger</w:t>
      </w:r>
      <w:r w:rsidR="00423629" w:rsidRPr="00F223CF">
        <w:rPr>
          <w:rFonts w:ascii="Georgia" w:hAnsi="Georgia" w:cs="Arial"/>
          <w:color w:val="000000"/>
        </w:rPr>
        <w:t xml:space="preserve"> </w:t>
      </w:r>
      <w:r w:rsidRPr="00F223CF">
        <w:rPr>
          <w:rFonts w:ascii="Georgia" w:hAnsi="Georgia" w:cs="Arial"/>
          <w:color w:val="000000"/>
        </w:rPr>
        <w:t>foraminifera and scattered and rare </w:t>
      </w:r>
      <w:proofErr w:type="spellStart"/>
      <w:r w:rsidRPr="00F223CF">
        <w:rPr>
          <w:rFonts w:ascii="Georgia" w:hAnsi="Georgia" w:cs="Arial"/>
          <w:i/>
          <w:iCs/>
          <w:color w:val="000000"/>
        </w:rPr>
        <w:t>Lepidocyclin</w:t>
      </w:r>
      <w:r w:rsidRPr="00F223CF">
        <w:rPr>
          <w:rFonts w:ascii="Georgia" w:hAnsi="Georgia" w:cs="Arial"/>
          <w:color w:val="000000"/>
        </w:rPr>
        <w:t>a</w:t>
      </w:r>
      <w:proofErr w:type="spellEnd"/>
      <w:r w:rsidR="000B7B7C" w:rsidRPr="00F223CF">
        <w:rPr>
          <w:rFonts w:ascii="Georgia" w:hAnsi="Georgia" w:cs="Arial"/>
          <w:color w:val="000000"/>
        </w:rPr>
        <w:t xml:space="preserve"> </w:t>
      </w:r>
      <w:r w:rsidRPr="00F223CF">
        <w:rPr>
          <w:rFonts w:ascii="Georgia" w:hAnsi="Georgia" w:cs="Arial"/>
          <w:color w:val="000000"/>
        </w:rPr>
        <w:t>and </w:t>
      </w:r>
      <w:r w:rsidRPr="00F223CF">
        <w:rPr>
          <w:rFonts w:ascii="Georgia" w:hAnsi="Georgia" w:cs="Arial"/>
          <w:i/>
          <w:iCs/>
          <w:color w:val="000000"/>
        </w:rPr>
        <w:t>Nummulites</w:t>
      </w:r>
      <w:r w:rsidRPr="00F223CF">
        <w:rPr>
          <w:rFonts w:ascii="Georgia" w:hAnsi="Georgia" w:cs="Arial"/>
          <w:color w:val="000000"/>
        </w:rPr>
        <w:t>. Stratification ranges from massive and</w:t>
      </w:r>
      <w:r w:rsidR="00423629" w:rsidRPr="00F223CF">
        <w:rPr>
          <w:rFonts w:ascii="Georgia" w:hAnsi="Georgia" w:cs="Arial"/>
          <w:color w:val="000000"/>
        </w:rPr>
        <w:t xml:space="preserve"> </w:t>
      </w:r>
      <w:r w:rsidRPr="00F223CF">
        <w:rPr>
          <w:rFonts w:ascii="Georgia" w:hAnsi="Georgia" w:cs="Arial"/>
          <w:color w:val="000000"/>
        </w:rPr>
        <w:t>structureless in some beds to bioturbated in a few beds, to thinly and vaguely layered in other beds to flaggy with hard poker</w:t>
      </w:r>
      <w:r w:rsidR="006C5FC6" w:rsidRPr="00F223CF">
        <w:rPr>
          <w:rFonts w:ascii="Georgia" w:hAnsi="Georgia" w:cs="Arial"/>
          <w:color w:val="000000"/>
        </w:rPr>
        <w:t xml:space="preserve"> </w:t>
      </w:r>
      <w:r w:rsidRPr="00F223CF">
        <w:rPr>
          <w:rFonts w:ascii="Georgia" w:hAnsi="Georgia" w:cs="Arial"/>
          <w:color w:val="000000"/>
        </w:rPr>
        <w:t xml:space="preserve">chips.  The limestone interval between what is almost certainly upper Jacksonian </w:t>
      </w:r>
      <w:proofErr w:type="gramStart"/>
      <w:r w:rsidRPr="00F223CF">
        <w:rPr>
          <w:rFonts w:ascii="Georgia" w:hAnsi="Georgia" w:cs="Arial"/>
          <w:color w:val="000000"/>
        </w:rPr>
        <w:t>limestone</w:t>
      </w:r>
      <w:proofErr w:type="gramEnd"/>
      <w:r w:rsidRPr="00F223CF">
        <w:rPr>
          <w:rFonts w:ascii="Georgia" w:hAnsi="Georgia" w:cs="Arial"/>
          <w:color w:val="000000"/>
        </w:rPr>
        <w:t xml:space="preserve"> and the underlying </w:t>
      </w:r>
      <w:proofErr w:type="spellStart"/>
      <w:r w:rsidRPr="00F223CF">
        <w:rPr>
          <w:rFonts w:ascii="Georgia" w:hAnsi="Georgia" w:cs="Arial"/>
          <w:color w:val="000000"/>
        </w:rPr>
        <w:t>Claibornian</w:t>
      </w:r>
      <w:proofErr w:type="spellEnd"/>
      <w:r w:rsidR="006C5FC6" w:rsidRPr="00F223CF">
        <w:rPr>
          <w:rFonts w:ascii="Georgia" w:hAnsi="Georgia" w:cs="Arial"/>
          <w:color w:val="000000"/>
        </w:rPr>
        <w:t xml:space="preserve"> </w:t>
      </w:r>
      <w:r w:rsidRPr="00F223CF">
        <w:rPr>
          <w:rFonts w:ascii="Georgia" w:hAnsi="Georgia" w:cs="Arial"/>
          <w:color w:val="000000"/>
        </w:rPr>
        <w:t>Limestone in the Gulf Trough may be either lower Jacksonian or upper Jacksonian.  The lithic contents are similar and there is</w:t>
      </w:r>
      <w:r w:rsidR="001C2E10" w:rsidRPr="00F223CF">
        <w:rPr>
          <w:rFonts w:ascii="Georgia" w:hAnsi="Georgia" w:cs="Arial"/>
          <w:color w:val="000000"/>
        </w:rPr>
        <w:t xml:space="preserve"> </w:t>
      </w:r>
      <w:r w:rsidRPr="00F223CF">
        <w:rPr>
          <w:rFonts w:ascii="Georgia" w:hAnsi="Georgia" w:cs="Arial"/>
          <w:color w:val="000000"/>
        </w:rPr>
        <w:t>inadequate biostratigraphy to be certain of their </w:t>
      </w:r>
      <w:r w:rsidRPr="00F223CF">
        <w:rPr>
          <w:rFonts w:ascii="Georgia" w:hAnsi="Georgia" w:cs="Arial"/>
          <w:i/>
          <w:iCs/>
          <w:color w:val="000000"/>
        </w:rPr>
        <w:t>real</w:t>
      </w:r>
      <w:r w:rsidRPr="00F223CF">
        <w:rPr>
          <w:rFonts w:ascii="Georgia" w:hAnsi="Georgia" w:cs="Arial"/>
          <w:color w:val="000000"/>
        </w:rPr>
        <w:t> stratigraphic position.  The above lithic contents of the Gulf Trough, upper Jacksonian seems to suggest that some or much of the upper Jacksonian contents of the trough are derived from downslope movement from higher up on the flanks of the channel walls.  Such down-slope movement could have been caused by</w:t>
      </w:r>
      <w:r w:rsidR="00FE04AA" w:rsidRPr="00F223CF">
        <w:rPr>
          <w:rFonts w:ascii="Georgia" w:hAnsi="Georgia" w:cs="Arial"/>
          <w:color w:val="000000"/>
        </w:rPr>
        <w:t xml:space="preserve"> </w:t>
      </w:r>
      <w:r w:rsidRPr="00F223CF">
        <w:rPr>
          <w:rFonts w:ascii="Georgia" w:hAnsi="Georgia" w:cs="Arial"/>
          <w:color w:val="000000"/>
        </w:rPr>
        <w:t xml:space="preserve">periodic storms/hurricanes and strong, scouring currents on the </w:t>
      </w:r>
      <w:proofErr w:type="gramStart"/>
      <w:r w:rsidRPr="00F223CF">
        <w:rPr>
          <w:rFonts w:ascii="Georgia" w:hAnsi="Georgia" w:cs="Arial"/>
          <w:color w:val="000000"/>
        </w:rPr>
        <w:t>sea-floor</w:t>
      </w:r>
      <w:proofErr w:type="gramEnd"/>
      <w:r w:rsidRPr="00F223CF">
        <w:rPr>
          <w:rFonts w:ascii="Georgia" w:hAnsi="Georgia" w:cs="Arial"/>
          <w:color w:val="000000"/>
        </w:rPr>
        <w:t xml:space="preserve"> above the channel depths.</w:t>
      </w:r>
    </w:p>
    <w:p w14:paraId="304C06C6" w14:textId="5D1B5C41" w:rsidR="007D434A" w:rsidRPr="00F223CF" w:rsidRDefault="007D434A" w:rsidP="00194354">
      <w:pPr>
        <w:pStyle w:val="yiv4264280208msonormal"/>
        <w:shd w:val="clear" w:color="auto" w:fill="FFFFFF"/>
        <w:spacing w:before="0" w:beforeAutospacing="0" w:after="0" w:afterAutospacing="0"/>
        <w:jc w:val="both"/>
        <w:rPr>
          <w:rFonts w:ascii="Georgia" w:hAnsi="Georgia" w:cs="Arial"/>
          <w:color w:val="000000"/>
        </w:rPr>
      </w:pPr>
    </w:p>
    <w:p w14:paraId="7DAF1D60" w14:textId="3EDB208F" w:rsidR="0082669A" w:rsidRPr="00992E3C" w:rsidRDefault="0082669A" w:rsidP="00194354">
      <w:pPr>
        <w:pStyle w:val="yiv4264280208msonormal"/>
        <w:shd w:val="clear" w:color="auto" w:fill="FFFFFF"/>
        <w:spacing w:before="0" w:beforeAutospacing="0" w:after="0" w:afterAutospacing="0"/>
        <w:jc w:val="both"/>
        <w:rPr>
          <w:rFonts w:ascii="Georgia" w:hAnsi="Georgia" w:cs="Arial"/>
          <w:b/>
          <w:bCs/>
          <w:color w:val="000000"/>
        </w:rPr>
      </w:pPr>
      <w:r w:rsidRPr="00992E3C">
        <w:rPr>
          <w:rFonts w:ascii="Georgia" w:hAnsi="Georgia" w:cs="Arial"/>
          <w:b/>
          <w:bCs/>
          <w:color w:val="000000"/>
        </w:rPr>
        <w:t>Crystal River Limestone</w:t>
      </w:r>
    </w:p>
    <w:p w14:paraId="4C810545" w14:textId="23E2669A" w:rsidR="007D434A" w:rsidRPr="00F223CF" w:rsidRDefault="007D434A" w:rsidP="00194354">
      <w:pPr>
        <w:pStyle w:val="yiv4264280208msonormal"/>
        <w:shd w:val="clear" w:color="auto" w:fill="FFFFFF"/>
        <w:spacing w:before="0" w:beforeAutospacing="0" w:after="0" w:afterAutospacing="0"/>
        <w:jc w:val="both"/>
        <w:rPr>
          <w:rFonts w:ascii="Georgia" w:hAnsi="Georgia" w:cs="Arial"/>
        </w:rPr>
      </w:pPr>
      <w:r w:rsidRPr="00F223CF">
        <w:rPr>
          <w:rFonts w:ascii="Georgia" w:hAnsi="Georgia" w:cs="Arial"/>
        </w:rPr>
        <w:t xml:space="preserve">The </w:t>
      </w:r>
      <w:r w:rsidR="00912307" w:rsidRPr="00F223CF">
        <w:rPr>
          <w:rFonts w:ascii="Georgia" w:hAnsi="Georgia" w:cs="Arial"/>
        </w:rPr>
        <w:t xml:space="preserve">(Upper </w:t>
      </w:r>
      <w:r w:rsidR="00C248A4" w:rsidRPr="00F223CF">
        <w:rPr>
          <w:rFonts w:ascii="Georgia" w:hAnsi="Georgia" w:cs="Arial"/>
        </w:rPr>
        <w:t xml:space="preserve">Jacksonian) </w:t>
      </w:r>
      <w:r w:rsidRPr="00F223CF">
        <w:rPr>
          <w:rFonts w:ascii="Georgia" w:hAnsi="Georgia" w:cs="Arial"/>
        </w:rPr>
        <w:t>Crystal River Limestone occurs south of the Gulf Trough in southwestern and central Georgia and is continuous into</w:t>
      </w:r>
      <w:r w:rsidR="008D1201" w:rsidRPr="00F223CF">
        <w:rPr>
          <w:rFonts w:ascii="Georgia" w:hAnsi="Georgia" w:cs="Arial"/>
        </w:rPr>
        <w:t xml:space="preserve"> </w:t>
      </w:r>
      <w:r w:rsidRPr="00F223CF">
        <w:rPr>
          <w:rFonts w:ascii="Georgia" w:hAnsi="Georgia" w:cs="Arial"/>
        </w:rPr>
        <w:t xml:space="preserve">central Florida, the </w:t>
      </w:r>
      <w:proofErr w:type="gramStart"/>
      <w:r w:rsidRPr="00F223CF">
        <w:rPr>
          <w:rFonts w:ascii="Georgia" w:hAnsi="Georgia" w:cs="Arial"/>
        </w:rPr>
        <w:t>type</w:t>
      </w:r>
      <w:proofErr w:type="gramEnd"/>
      <w:r w:rsidRPr="00F223CF">
        <w:rPr>
          <w:rFonts w:ascii="Georgia" w:hAnsi="Georgia" w:cs="Arial"/>
        </w:rPr>
        <w:t xml:space="preserve"> area of the Ocala Limestone. In eastern coastal Georgia and northeastern coastal Florida, the </w:t>
      </w:r>
      <w:r w:rsidRPr="00F223CF">
        <w:rPr>
          <w:rFonts w:ascii="Georgia" w:hAnsi="Georgia" w:cs="Arial"/>
        </w:rPr>
        <w:lastRenderedPageBreak/>
        <w:t>Crystal</w:t>
      </w:r>
      <w:r w:rsidR="00442B59" w:rsidRPr="00F223CF">
        <w:rPr>
          <w:rFonts w:ascii="Georgia" w:hAnsi="Georgia" w:cs="Arial"/>
        </w:rPr>
        <w:t xml:space="preserve"> </w:t>
      </w:r>
      <w:r w:rsidRPr="00F223CF">
        <w:rPr>
          <w:rFonts w:ascii="Georgia" w:hAnsi="Georgia" w:cs="Arial"/>
        </w:rPr>
        <w:t>River grades eastward into an unnamed bryozoan limestone that is mostly a bryozoan coquina to a sub</w:t>
      </w:r>
      <w:r w:rsidR="007146A7" w:rsidRPr="00F223CF">
        <w:rPr>
          <w:rFonts w:ascii="Georgia" w:hAnsi="Georgia" w:cs="Arial"/>
        </w:rPr>
        <w:t>-</w:t>
      </w:r>
      <w:r w:rsidRPr="00F223CF">
        <w:rPr>
          <w:rFonts w:ascii="Georgia" w:hAnsi="Georgia" w:cs="Arial"/>
        </w:rPr>
        <w:t>coquina.</w:t>
      </w:r>
      <w:r w:rsidR="00442B59" w:rsidRPr="00F223CF">
        <w:rPr>
          <w:rFonts w:ascii="Georgia" w:hAnsi="Georgia" w:cs="Arial"/>
        </w:rPr>
        <w:t xml:space="preserve"> </w:t>
      </w:r>
      <w:r w:rsidR="00542EF2" w:rsidRPr="00F223CF">
        <w:rPr>
          <w:rFonts w:ascii="Georgia" w:hAnsi="Georgia" w:cs="Arial"/>
        </w:rPr>
        <w:t>In the area t</w:t>
      </w:r>
      <w:r w:rsidRPr="00F223CF">
        <w:rPr>
          <w:rFonts w:ascii="Georgia" w:hAnsi="Georgia" w:cs="Arial"/>
        </w:rPr>
        <w:t>here are no</w:t>
      </w:r>
      <w:r w:rsidR="00442B59" w:rsidRPr="00F223CF">
        <w:rPr>
          <w:rFonts w:ascii="Georgia" w:hAnsi="Georgia" w:cs="Arial"/>
        </w:rPr>
        <w:t xml:space="preserve"> </w:t>
      </w:r>
      <w:r w:rsidRPr="00F223CF">
        <w:rPr>
          <w:rFonts w:ascii="Georgia" w:hAnsi="Georgia" w:cs="Arial"/>
        </w:rPr>
        <w:t>cores of the facies change of the Crystal River into the bryozoan limestone south of the Savannah River area but,</w:t>
      </w:r>
      <w:r w:rsidR="00442B59" w:rsidRPr="00F223CF">
        <w:rPr>
          <w:rFonts w:ascii="Georgia" w:hAnsi="Georgia" w:cs="Arial"/>
        </w:rPr>
        <w:t xml:space="preserve"> </w:t>
      </w:r>
      <w:r w:rsidRPr="00F223CF">
        <w:rPr>
          <w:rFonts w:ascii="Georgia" w:hAnsi="Georgia" w:cs="Arial"/>
        </w:rPr>
        <w:t>based on Florida Geological Survey cores in northeastern Florida, the area appears to be quite abrupt and occurs between Trail</w:t>
      </w:r>
      <w:r w:rsidR="000876A0" w:rsidRPr="00F223CF">
        <w:rPr>
          <w:rFonts w:ascii="Georgia" w:hAnsi="Georgia" w:cs="Arial"/>
        </w:rPr>
        <w:t xml:space="preserve"> </w:t>
      </w:r>
      <w:r w:rsidRPr="00F223CF">
        <w:rPr>
          <w:rFonts w:ascii="Georgia" w:hAnsi="Georgia" w:cs="Arial"/>
        </w:rPr>
        <w:t>Ridge and the Coast.</w:t>
      </w:r>
      <w:r w:rsidR="000876A0" w:rsidRPr="00F223CF">
        <w:rPr>
          <w:rFonts w:ascii="Georgia" w:hAnsi="Georgia" w:cs="Arial"/>
        </w:rPr>
        <w:t xml:space="preserve"> </w:t>
      </w:r>
      <w:r w:rsidRPr="00F223CF">
        <w:rPr>
          <w:rFonts w:ascii="Georgia" w:hAnsi="Georgia" w:cs="Arial"/>
        </w:rPr>
        <w:t>If that location holds in Georgia, the area of facies change in Georgia would then be between the</w:t>
      </w:r>
      <w:r w:rsidR="000876A0" w:rsidRPr="00F223CF">
        <w:rPr>
          <w:rFonts w:ascii="Georgia" w:hAnsi="Georgia" w:cs="Arial"/>
        </w:rPr>
        <w:t xml:space="preserve"> </w:t>
      </w:r>
      <w:r w:rsidRPr="00F223CF">
        <w:rPr>
          <w:rFonts w:ascii="Georgia" w:hAnsi="Georgia" w:cs="Arial"/>
        </w:rPr>
        <w:t>Orangeburg Escarpment and the coast.  However, there used to be a string of cores in the near vicinity of the Savannah River</w:t>
      </w:r>
      <w:r w:rsidR="00321A48" w:rsidRPr="00F223CF">
        <w:rPr>
          <w:rFonts w:ascii="Georgia" w:hAnsi="Georgia" w:cs="Arial"/>
        </w:rPr>
        <w:t xml:space="preserve"> </w:t>
      </w:r>
      <w:r w:rsidRPr="00F223CF">
        <w:rPr>
          <w:rFonts w:ascii="Georgia" w:hAnsi="Georgia" w:cs="Arial"/>
        </w:rPr>
        <w:t xml:space="preserve">from the </w:t>
      </w:r>
      <w:proofErr w:type="spellStart"/>
      <w:r w:rsidRPr="00F223CF">
        <w:rPr>
          <w:rFonts w:ascii="Georgia" w:hAnsi="Georgia" w:cs="Arial"/>
        </w:rPr>
        <w:t>McBean</w:t>
      </w:r>
      <w:proofErr w:type="spellEnd"/>
      <w:r w:rsidRPr="00F223CF">
        <w:rPr>
          <w:rFonts w:ascii="Georgia" w:hAnsi="Georgia" w:cs="Arial"/>
        </w:rPr>
        <w:t xml:space="preserve"> Creek area in northern Burke County, every few miles through Burke, Screven, and Chatham County; most</w:t>
      </w:r>
      <w:r w:rsidR="00321A48" w:rsidRPr="00F223CF">
        <w:rPr>
          <w:rFonts w:ascii="Georgia" w:hAnsi="Georgia" w:cs="Arial"/>
        </w:rPr>
        <w:t xml:space="preserve"> </w:t>
      </w:r>
      <w:r w:rsidRPr="00F223CF">
        <w:rPr>
          <w:rFonts w:ascii="Georgia" w:hAnsi="Georgia" w:cs="Arial"/>
        </w:rPr>
        <w:t>of which are sufficiently deep to form a clear picture of the lithofacies change in the entire Jacksonian from the Barnwell</w:t>
      </w:r>
      <w:r w:rsidR="00321A48" w:rsidRPr="00F223CF">
        <w:rPr>
          <w:rFonts w:ascii="Georgia" w:hAnsi="Georgia" w:cs="Arial"/>
        </w:rPr>
        <w:t xml:space="preserve"> </w:t>
      </w:r>
      <w:r w:rsidRPr="00F223CF">
        <w:rPr>
          <w:rFonts w:ascii="Georgia" w:hAnsi="Georgia" w:cs="Arial"/>
        </w:rPr>
        <w:t xml:space="preserve">Group in Richmond County to the Ocala Group in coastal in Chatham County.  In that string of cores, </w:t>
      </w:r>
      <w:proofErr w:type="gramStart"/>
      <w:r w:rsidRPr="00F223CF">
        <w:rPr>
          <w:rFonts w:ascii="Georgia" w:hAnsi="Georgia" w:cs="Arial"/>
        </w:rPr>
        <w:t>it is clear that in</w:t>
      </w:r>
      <w:proofErr w:type="gramEnd"/>
      <w:r w:rsidRPr="00F223CF">
        <w:rPr>
          <w:rFonts w:ascii="Georgia" w:hAnsi="Georgia" w:cs="Arial"/>
        </w:rPr>
        <w:t xml:space="preserve"> the</w:t>
      </w:r>
      <w:r w:rsidR="00321A48" w:rsidRPr="00F223CF">
        <w:rPr>
          <w:rFonts w:ascii="Georgia" w:hAnsi="Georgia" w:cs="Arial"/>
        </w:rPr>
        <w:t xml:space="preserve"> </w:t>
      </w:r>
      <w:r w:rsidRPr="00F223CF">
        <w:rPr>
          <w:rFonts w:ascii="Georgia" w:hAnsi="Georgia" w:cs="Arial"/>
        </w:rPr>
        <w:t>Savannah River area, the Tobacco Road Sand grades rather abruptly into the Ocmulgee Formation in the vicinity of the</w:t>
      </w:r>
      <w:r w:rsidR="00321A48" w:rsidRPr="00F223CF">
        <w:rPr>
          <w:rFonts w:ascii="Georgia" w:hAnsi="Georgia" w:cs="Arial"/>
        </w:rPr>
        <w:t xml:space="preserve"> </w:t>
      </w:r>
      <w:r w:rsidRPr="00F223CF">
        <w:rPr>
          <w:rFonts w:ascii="Georgia" w:hAnsi="Georgia" w:cs="Arial"/>
        </w:rPr>
        <w:t>Burke/Screven Counties line.  The Ocmulgee Formation grades laterally into the bryozoan limestone by the gradual increase in</w:t>
      </w:r>
      <w:r w:rsidR="00321A48" w:rsidRPr="00F223CF">
        <w:rPr>
          <w:rFonts w:ascii="Georgia" w:hAnsi="Georgia" w:cs="Arial"/>
        </w:rPr>
        <w:t xml:space="preserve"> </w:t>
      </w:r>
      <w:r w:rsidRPr="00F223CF">
        <w:rPr>
          <w:rFonts w:ascii="Georgia" w:hAnsi="Georgia" w:cs="Arial"/>
        </w:rPr>
        <w:t>bryozoans in central Screven County, and the bryozoan limestone constitutes the entire upper Jacksonian from central</w:t>
      </w:r>
      <w:r w:rsidR="00E4333D" w:rsidRPr="00F223CF">
        <w:rPr>
          <w:rFonts w:ascii="Georgia" w:hAnsi="Georgia" w:cs="Arial"/>
        </w:rPr>
        <w:t xml:space="preserve"> </w:t>
      </w:r>
      <w:r w:rsidRPr="00F223CF">
        <w:rPr>
          <w:rFonts w:ascii="Georgia" w:hAnsi="Georgia" w:cs="Arial"/>
        </w:rPr>
        <w:t>Screven County to the coast.</w:t>
      </w:r>
    </w:p>
    <w:p w14:paraId="0CB406B4" w14:textId="707E8AC1" w:rsidR="007D434A" w:rsidRPr="00F223CF" w:rsidRDefault="007D434A" w:rsidP="00194354">
      <w:pPr>
        <w:pStyle w:val="yiv4264280208msonormal"/>
        <w:shd w:val="clear" w:color="auto" w:fill="FFFFFF"/>
        <w:spacing w:before="0" w:beforeAutospacing="0" w:after="0" w:afterAutospacing="0"/>
        <w:jc w:val="both"/>
        <w:rPr>
          <w:rFonts w:ascii="Georgia" w:hAnsi="Georgia" w:cs="Arial"/>
          <w:color w:val="FF0000"/>
        </w:rPr>
      </w:pPr>
    </w:p>
    <w:p w14:paraId="419DF00B" w14:textId="10F233BC" w:rsidR="00057620" w:rsidRPr="00992E3C" w:rsidRDefault="00057620" w:rsidP="00194354">
      <w:pPr>
        <w:pStyle w:val="yiv4264280208msonormal"/>
        <w:shd w:val="clear" w:color="auto" w:fill="FFFFFF"/>
        <w:spacing w:before="0" w:beforeAutospacing="0" w:after="0" w:afterAutospacing="0"/>
        <w:jc w:val="both"/>
        <w:rPr>
          <w:rFonts w:ascii="Georgia" w:hAnsi="Georgia" w:cs="Arial"/>
          <w:b/>
          <w:bCs/>
        </w:rPr>
      </w:pPr>
      <w:r w:rsidRPr="00992E3C">
        <w:rPr>
          <w:rFonts w:ascii="Georgia" w:hAnsi="Georgia" w:cs="Arial"/>
          <w:b/>
          <w:bCs/>
        </w:rPr>
        <w:t>Williston Limestone</w:t>
      </w:r>
    </w:p>
    <w:p w14:paraId="3A44CD08" w14:textId="637D5E12" w:rsidR="007D434A" w:rsidRPr="00F223CF" w:rsidRDefault="007D434A" w:rsidP="00194354">
      <w:pPr>
        <w:pStyle w:val="yiv4264280208msonormal"/>
        <w:shd w:val="clear" w:color="auto" w:fill="FFFFFF"/>
        <w:spacing w:before="0" w:beforeAutospacing="0" w:after="0" w:afterAutospacing="0"/>
        <w:jc w:val="both"/>
        <w:rPr>
          <w:rFonts w:ascii="Georgia" w:hAnsi="Georgia" w:cs="Arial"/>
        </w:rPr>
      </w:pPr>
      <w:r w:rsidRPr="00F223CF">
        <w:rPr>
          <w:rFonts w:ascii="Georgia" w:hAnsi="Georgia" w:cs="Arial"/>
        </w:rPr>
        <w:t xml:space="preserve">The </w:t>
      </w:r>
      <w:r w:rsidRPr="00F223CF">
        <w:rPr>
          <w:rFonts w:ascii="Georgia" w:hAnsi="Georgia" w:cs="Arial"/>
          <w:i/>
          <w:iCs/>
        </w:rPr>
        <w:t>lower</w:t>
      </w:r>
      <w:r w:rsidRPr="00F223CF">
        <w:rPr>
          <w:rFonts w:ascii="Georgia" w:hAnsi="Georgia" w:cs="Arial"/>
        </w:rPr>
        <w:t xml:space="preserve"> Jacksonian Williston Limestone is both more variable </w:t>
      </w:r>
      <w:proofErr w:type="spellStart"/>
      <w:r w:rsidRPr="00F223CF">
        <w:rPr>
          <w:rFonts w:ascii="Georgia" w:hAnsi="Georgia" w:cs="Arial"/>
        </w:rPr>
        <w:t>lithicly</w:t>
      </w:r>
      <w:proofErr w:type="spellEnd"/>
      <w:r w:rsidRPr="00F223CF">
        <w:rPr>
          <w:rFonts w:ascii="Georgia" w:hAnsi="Georgia" w:cs="Arial"/>
        </w:rPr>
        <w:t xml:space="preserve"> than the upper Jacksonian limestones but is also more internally consistent across the larger expanse of Georgia.  One variation of the lithology of the Williston is the local </w:t>
      </w:r>
      <w:proofErr w:type="spellStart"/>
      <w:r w:rsidRPr="00F223CF">
        <w:rPr>
          <w:rFonts w:ascii="Georgia" w:hAnsi="Georgia" w:cs="Arial"/>
        </w:rPr>
        <w:t>Muckalee</w:t>
      </w:r>
      <w:proofErr w:type="spellEnd"/>
      <w:r w:rsidRPr="00F223CF">
        <w:rPr>
          <w:rFonts w:ascii="Georgia" w:hAnsi="Georgia" w:cs="Arial"/>
        </w:rPr>
        <w:t xml:space="preserve"> Member in southwestern Georgia described in the Georgia Geological Society Fieldtrip, 1995 guidebook.  The</w:t>
      </w:r>
      <w:r w:rsidR="005E4040" w:rsidRPr="00F223CF">
        <w:rPr>
          <w:rFonts w:ascii="Georgia" w:hAnsi="Georgia" w:cs="Arial"/>
        </w:rPr>
        <w:t xml:space="preserve"> </w:t>
      </w:r>
      <w:proofErr w:type="spellStart"/>
      <w:r w:rsidRPr="00F223CF">
        <w:rPr>
          <w:rFonts w:ascii="Georgia" w:hAnsi="Georgia" w:cs="Arial"/>
        </w:rPr>
        <w:t>updip</w:t>
      </w:r>
      <w:proofErr w:type="spellEnd"/>
      <w:r w:rsidRPr="00F223CF">
        <w:rPr>
          <w:rFonts w:ascii="Georgia" w:hAnsi="Georgia" w:cs="Arial"/>
        </w:rPr>
        <w:t xml:space="preserve"> limits of the Williston in central Georgia and its style of gradation into the Dry Branch Formation of the Barnwell Group is unknown in Georgia west of the Savannah River area.  In the Savannah River area, however, the Griffins Landing Member of the Dry Branch</w:t>
      </w:r>
    </w:p>
    <w:p w14:paraId="7C7A922E" w14:textId="762990F4" w:rsidR="007D434A" w:rsidRPr="00F223CF" w:rsidRDefault="007D434A" w:rsidP="00194354">
      <w:pPr>
        <w:pStyle w:val="yiv4264280208msonormal"/>
        <w:shd w:val="clear" w:color="auto" w:fill="FFFFFF"/>
        <w:spacing w:before="0" w:beforeAutospacing="0" w:after="0" w:afterAutospacing="0"/>
        <w:jc w:val="both"/>
        <w:rPr>
          <w:rFonts w:ascii="Georgia" w:hAnsi="Georgia" w:cs="Arial"/>
        </w:rPr>
      </w:pPr>
    </w:p>
    <w:p w14:paraId="33AAEACF" w14:textId="638415DE" w:rsidR="001C5512" w:rsidRPr="00B2084C" w:rsidRDefault="001C5512" w:rsidP="00194354">
      <w:pPr>
        <w:pStyle w:val="yiv4264280208msonormal"/>
        <w:shd w:val="clear" w:color="auto" w:fill="FFFFFF"/>
        <w:spacing w:before="0" w:beforeAutospacing="0" w:after="0" w:afterAutospacing="0"/>
        <w:jc w:val="both"/>
        <w:rPr>
          <w:rFonts w:ascii="Georgia" w:hAnsi="Georgia" w:cs="Arial"/>
          <w:b/>
          <w:bCs/>
        </w:rPr>
      </w:pPr>
      <w:r w:rsidRPr="00B2084C">
        <w:rPr>
          <w:rFonts w:ascii="Georgia" w:hAnsi="Georgia" w:cs="Arial"/>
          <w:b/>
          <w:bCs/>
        </w:rPr>
        <w:t>The Clinchfield Sand</w:t>
      </w:r>
    </w:p>
    <w:p w14:paraId="0546EC98" w14:textId="33F6FD74" w:rsidR="007D434A" w:rsidRPr="00F223CF" w:rsidRDefault="007D434A" w:rsidP="00194354">
      <w:pPr>
        <w:pStyle w:val="yiv4264280208msonormal"/>
        <w:shd w:val="clear" w:color="auto" w:fill="FFFFFF"/>
        <w:spacing w:before="0" w:beforeAutospacing="0" w:after="0" w:afterAutospacing="0"/>
        <w:jc w:val="both"/>
        <w:rPr>
          <w:rFonts w:ascii="Georgia" w:hAnsi="Georgia" w:cs="Arial"/>
          <w:color w:val="000000"/>
        </w:rPr>
      </w:pPr>
      <w:r w:rsidRPr="00F223CF">
        <w:rPr>
          <w:rFonts w:ascii="Georgia" w:hAnsi="Georgia" w:cs="Arial"/>
        </w:rPr>
        <w:t xml:space="preserve">The Clinchfield Sand of the Barnwell Group is uncertain </w:t>
      </w:r>
      <w:proofErr w:type="gramStart"/>
      <w:r w:rsidRPr="00F223CF">
        <w:rPr>
          <w:rFonts w:ascii="Georgia" w:hAnsi="Georgia" w:cs="Arial"/>
        </w:rPr>
        <w:t>at this time</w:t>
      </w:r>
      <w:proofErr w:type="gramEnd"/>
      <w:r w:rsidRPr="00F223CF">
        <w:rPr>
          <w:rFonts w:ascii="Georgia" w:hAnsi="Georgia" w:cs="Arial"/>
        </w:rPr>
        <w:t xml:space="preserve"> because of lack of necessary </w:t>
      </w:r>
      <w:proofErr w:type="spellStart"/>
      <w:r w:rsidRPr="00F223CF">
        <w:rPr>
          <w:rFonts w:ascii="Georgia" w:hAnsi="Georgia" w:cs="Arial"/>
        </w:rPr>
        <w:t>biostratigraphic</w:t>
      </w:r>
      <w:proofErr w:type="spellEnd"/>
      <w:r w:rsidRPr="00F223CF">
        <w:rPr>
          <w:rFonts w:ascii="Georgia" w:hAnsi="Georgia" w:cs="Arial"/>
        </w:rPr>
        <w:t xml:space="preserve"> clarification of the unit. The Clinchfield Sand occurs in the same </w:t>
      </w:r>
      <w:r w:rsidRPr="00F223CF">
        <w:rPr>
          <w:rFonts w:ascii="Georgia" w:hAnsi="Georgia" w:cs="Arial"/>
          <w:i/>
          <w:iCs/>
        </w:rPr>
        <w:t>relative </w:t>
      </w:r>
      <w:r w:rsidRPr="00F223CF">
        <w:rPr>
          <w:rFonts w:ascii="Georgia" w:hAnsi="Georgia" w:cs="Arial"/>
        </w:rPr>
        <w:t xml:space="preserve">stratigraphic position to other formations as does the </w:t>
      </w:r>
      <w:proofErr w:type="spellStart"/>
      <w:r w:rsidRPr="00F223CF">
        <w:rPr>
          <w:rFonts w:ascii="Georgia" w:hAnsi="Georgia" w:cs="Arial"/>
        </w:rPr>
        <w:t>Gosport</w:t>
      </w:r>
      <w:proofErr w:type="spellEnd"/>
      <w:r w:rsidRPr="00F223CF">
        <w:rPr>
          <w:rFonts w:ascii="Georgia" w:hAnsi="Georgia" w:cs="Arial"/>
        </w:rPr>
        <w:t xml:space="preserve"> Sand in Alabama.  However, the </w:t>
      </w:r>
      <w:proofErr w:type="spellStart"/>
      <w:r w:rsidRPr="00F223CF">
        <w:rPr>
          <w:rFonts w:ascii="Georgia" w:hAnsi="Georgia" w:cs="Arial"/>
        </w:rPr>
        <w:t>Gosport</w:t>
      </w:r>
      <w:proofErr w:type="spellEnd"/>
      <w:r w:rsidRPr="00F223CF">
        <w:rPr>
          <w:rFonts w:ascii="Georgia" w:hAnsi="Georgia" w:cs="Arial"/>
        </w:rPr>
        <w:t xml:space="preserve"> has always been identified as a part of the Middle Eocene, </w:t>
      </w:r>
      <w:proofErr w:type="spellStart"/>
      <w:r w:rsidRPr="00F223CF">
        <w:rPr>
          <w:rFonts w:ascii="Georgia" w:hAnsi="Georgia" w:cs="Arial"/>
        </w:rPr>
        <w:t>Claibornian</w:t>
      </w:r>
      <w:proofErr w:type="spellEnd"/>
      <w:r w:rsidRPr="00F223CF">
        <w:rPr>
          <w:rFonts w:ascii="Georgia" w:hAnsi="Georgia" w:cs="Arial"/>
        </w:rPr>
        <w:t xml:space="preserve"> and has been included in calcareous nannofossil Zone NP17 (Middle Eocene).  In Georgia, in contrast, the Clinchfield has always </w:t>
      </w:r>
      <w:proofErr w:type="gramStart"/>
      <w:r w:rsidRPr="00F223CF">
        <w:rPr>
          <w:rFonts w:ascii="Georgia" w:hAnsi="Georgia" w:cs="Arial"/>
        </w:rPr>
        <w:t>been considered to be</w:t>
      </w:r>
      <w:proofErr w:type="gramEnd"/>
      <w:r w:rsidRPr="00F223CF">
        <w:rPr>
          <w:rFonts w:ascii="Georgia" w:hAnsi="Georgia" w:cs="Arial"/>
        </w:rPr>
        <w:t xml:space="preserve"> a part of the Barnwell Group and because the rest of the Barnwell is Late Eocene in age, the Clinchfield has been considered to be Late Eocene in age. The stratigraphic relationships of the </w:t>
      </w:r>
      <w:proofErr w:type="spellStart"/>
      <w:r w:rsidRPr="00F223CF">
        <w:rPr>
          <w:rFonts w:ascii="Georgia" w:hAnsi="Georgia" w:cs="Arial"/>
        </w:rPr>
        <w:t>Gosport</w:t>
      </w:r>
      <w:proofErr w:type="spellEnd"/>
      <w:r w:rsidRPr="00F223CF">
        <w:rPr>
          <w:rFonts w:ascii="Georgia" w:hAnsi="Georgia" w:cs="Arial"/>
        </w:rPr>
        <w:t xml:space="preserve"> Sand and </w:t>
      </w:r>
      <w:r w:rsidRPr="00F223CF">
        <w:rPr>
          <w:rFonts w:ascii="Georgia" w:hAnsi="Georgia" w:cs="Arial"/>
          <w:color w:val="000000"/>
        </w:rPr>
        <w:t xml:space="preserve">the Clinchfield Sand with the underlying Lisbon Formation (disconformable) and the overlying </w:t>
      </w:r>
      <w:proofErr w:type="spellStart"/>
      <w:r w:rsidRPr="00F223CF">
        <w:rPr>
          <w:rFonts w:ascii="Georgia" w:hAnsi="Georgia" w:cs="Arial"/>
          <w:color w:val="000000"/>
        </w:rPr>
        <w:t>Moodys</w:t>
      </w:r>
      <w:proofErr w:type="spellEnd"/>
      <w:r w:rsidRPr="00F223CF">
        <w:rPr>
          <w:rFonts w:ascii="Georgia" w:hAnsi="Georgia" w:cs="Arial"/>
          <w:color w:val="000000"/>
        </w:rPr>
        <w:t xml:space="preserve"> Branch in Alabama (apparently gradational), and the Clinchfield/Huber-Lisbon contact (disconformable) whereas the </w:t>
      </w:r>
      <w:proofErr w:type="spellStart"/>
      <w:r w:rsidRPr="00F223CF">
        <w:rPr>
          <w:rFonts w:ascii="Georgia" w:hAnsi="Georgia" w:cs="Arial"/>
          <w:color w:val="000000"/>
        </w:rPr>
        <w:t>Tivola</w:t>
      </w:r>
      <w:proofErr w:type="spellEnd"/>
      <w:r w:rsidRPr="00F223CF">
        <w:rPr>
          <w:rFonts w:ascii="Georgia" w:hAnsi="Georgia" w:cs="Arial"/>
          <w:color w:val="000000"/>
        </w:rPr>
        <w:t xml:space="preserve">/Dry Branch contact in Georgia (apparently gradational), it is possible (and even probable </w:t>
      </w:r>
      <w:proofErr w:type="gramStart"/>
      <w:r w:rsidRPr="00F223CF">
        <w:rPr>
          <w:rFonts w:ascii="Georgia" w:hAnsi="Georgia" w:cs="Arial"/>
          <w:color w:val="000000"/>
        </w:rPr>
        <w:t>at this time</w:t>
      </w:r>
      <w:proofErr w:type="gramEnd"/>
      <w:r w:rsidRPr="00F223CF">
        <w:rPr>
          <w:rFonts w:ascii="Georgia" w:hAnsi="Georgia" w:cs="Arial"/>
          <w:color w:val="000000"/>
        </w:rPr>
        <w:t xml:space="preserve">) that the Clinchfield Sand is </w:t>
      </w:r>
      <w:proofErr w:type="spellStart"/>
      <w:r w:rsidRPr="00F223CF">
        <w:rPr>
          <w:rFonts w:ascii="Georgia" w:hAnsi="Georgia" w:cs="Arial"/>
          <w:color w:val="000000"/>
        </w:rPr>
        <w:t>Gosport</w:t>
      </w:r>
      <w:proofErr w:type="spellEnd"/>
      <w:r w:rsidRPr="00F223CF">
        <w:rPr>
          <w:rFonts w:ascii="Georgia" w:hAnsi="Georgia" w:cs="Arial"/>
          <w:color w:val="000000"/>
        </w:rPr>
        <w:t xml:space="preserve">-equivalent and late Middle Eocene, </w:t>
      </w:r>
      <w:proofErr w:type="spellStart"/>
      <w:r w:rsidRPr="00F223CF">
        <w:rPr>
          <w:rFonts w:ascii="Georgia" w:hAnsi="Georgia" w:cs="Arial"/>
          <w:color w:val="000000"/>
        </w:rPr>
        <w:t>Claibornian</w:t>
      </w:r>
      <w:proofErr w:type="spellEnd"/>
      <w:r w:rsidRPr="00F223CF">
        <w:rPr>
          <w:rFonts w:ascii="Georgia" w:hAnsi="Georgia" w:cs="Arial"/>
          <w:color w:val="000000"/>
        </w:rPr>
        <w:t xml:space="preserve"> in age.  </w:t>
      </w:r>
      <w:proofErr w:type="gramStart"/>
      <w:r w:rsidRPr="00F223CF">
        <w:rPr>
          <w:rFonts w:ascii="Georgia" w:hAnsi="Georgia" w:cs="Arial"/>
          <w:color w:val="000000"/>
        </w:rPr>
        <w:t>Therefore</w:t>
      </w:r>
      <w:proofErr w:type="gramEnd"/>
      <w:r w:rsidRPr="00F223CF">
        <w:rPr>
          <w:rFonts w:ascii="Georgia" w:hAnsi="Georgia" w:cs="Arial"/>
          <w:color w:val="000000"/>
        </w:rPr>
        <w:t xml:space="preserve"> the </w:t>
      </w:r>
      <w:r w:rsidRPr="00F223CF">
        <w:rPr>
          <w:rFonts w:ascii="Georgia" w:hAnsi="Georgia" w:cs="Arial"/>
          <w:i/>
          <w:iCs/>
          <w:color w:val="000000"/>
        </w:rPr>
        <w:t>real </w:t>
      </w:r>
      <w:r w:rsidRPr="00F223CF">
        <w:rPr>
          <w:rFonts w:ascii="Georgia" w:hAnsi="Georgia" w:cs="Arial"/>
          <w:color w:val="000000"/>
        </w:rPr>
        <w:t xml:space="preserve">stratigraphic position and age of the Clinchfield </w:t>
      </w:r>
      <w:r w:rsidRPr="00F223CF">
        <w:rPr>
          <w:rFonts w:ascii="Georgia" w:hAnsi="Georgia" w:cs="Arial"/>
          <w:color w:val="000000"/>
        </w:rPr>
        <w:lastRenderedPageBreak/>
        <w:t xml:space="preserve">Sand must be carefully documented by definitive </w:t>
      </w:r>
      <w:proofErr w:type="spellStart"/>
      <w:r w:rsidRPr="00F223CF">
        <w:rPr>
          <w:rFonts w:ascii="Georgia" w:hAnsi="Georgia" w:cs="Arial"/>
          <w:color w:val="000000"/>
        </w:rPr>
        <w:t>biostratigraphic</w:t>
      </w:r>
      <w:proofErr w:type="spellEnd"/>
      <w:r w:rsidRPr="00F223CF">
        <w:rPr>
          <w:rFonts w:ascii="Georgia" w:hAnsi="Georgia" w:cs="Arial"/>
          <w:color w:val="000000"/>
        </w:rPr>
        <w:t xml:space="preserve"> markers.  </w:t>
      </w:r>
      <w:r w:rsidRPr="00F223CF">
        <w:rPr>
          <w:rFonts w:ascii="Georgia" w:hAnsi="Georgia" w:cs="Arial"/>
          <w:i/>
          <w:iCs/>
          <w:color w:val="000000"/>
        </w:rPr>
        <w:t xml:space="preserve">Periarchus </w:t>
      </w:r>
      <w:proofErr w:type="spellStart"/>
      <w:r w:rsidRPr="00F223CF">
        <w:rPr>
          <w:rFonts w:ascii="Georgia" w:hAnsi="Georgia" w:cs="Arial"/>
          <w:i/>
          <w:iCs/>
          <w:color w:val="000000"/>
        </w:rPr>
        <w:t>lyelli</w:t>
      </w:r>
      <w:proofErr w:type="spellEnd"/>
      <w:r w:rsidRPr="00F223CF">
        <w:rPr>
          <w:rFonts w:ascii="Georgia" w:hAnsi="Georgia" w:cs="Arial"/>
          <w:color w:val="000000"/>
        </w:rPr>
        <w:t xml:space="preserve"> is the best </w:t>
      </w:r>
      <w:proofErr w:type="spellStart"/>
      <w:r w:rsidRPr="00F223CF">
        <w:rPr>
          <w:rFonts w:ascii="Georgia" w:hAnsi="Georgia" w:cs="Arial"/>
          <w:color w:val="000000"/>
        </w:rPr>
        <w:t>Gosport</w:t>
      </w:r>
      <w:proofErr w:type="spellEnd"/>
      <w:r w:rsidRPr="00F223CF">
        <w:rPr>
          <w:rFonts w:ascii="Georgia" w:hAnsi="Georgia" w:cs="Arial"/>
          <w:color w:val="000000"/>
        </w:rPr>
        <w:t xml:space="preserve"> guide fossil available to field geologists but is inadequate for precision correlation </w:t>
      </w:r>
      <w:proofErr w:type="gramStart"/>
      <w:r w:rsidRPr="00F223CF">
        <w:rPr>
          <w:rFonts w:ascii="Georgia" w:hAnsi="Georgia" w:cs="Arial"/>
          <w:color w:val="000000"/>
        </w:rPr>
        <w:t>at this time</w:t>
      </w:r>
      <w:proofErr w:type="gramEnd"/>
      <w:r w:rsidRPr="00F223CF">
        <w:rPr>
          <w:rFonts w:ascii="Georgia" w:hAnsi="Georgia" w:cs="Arial"/>
          <w:color w:val="000000"/>
        </w:rPr>
        <w:t>.</w:t>
      </w:r>
    </w:p>
    <w:p w14:paraId="0CEF3CB1" w14:textId="77777777" w:rsidR="007D434A" w:rsidRPr="00F223CF" w:rsidRDefault="007D434A" w:rsidP="00194354">
      <w:pPr>
        <w:pStyle w:val="yiv4264280208msonormal"/>
        <w:shd w:val="clear" w:color="auto" w:fill="FFFFFF"/>
        <w:spacing w:before="0" w:beforeAutospacing="0" w:after="0" w:afterAutospacing="0"/>
        <w:jc w:val="both"/>
        <w:rPr>
          <w:rFonts w:ascii="Georgia" w:hAnsi="Georgia" w:cs="Arial"/>
          <w:color w:val="000000"/>
        </w:rPr>
      </w:pPr>
      <w:r w:rsidRPr="00F223CF">
        <w:rPr>
          <w:rFonts w:ascii="Georgia" w:hAnsi="Georgia" w:cs="Arial"/>
          <w:color w:val="000000"/>
        </w:rPr>
        <w:t> </w:t>
      </w:r>
    </w:p>
    <w:p w14:paraId="50F811FD" w14:textId="5A2CF080" w:rsidR="007D434A" w:rsidRPr="00F223CF" w:rsidRDefault="007D434A" w:rsidP="00194354">
      <w:pPr>
        <w:pStyle w:val="yiv4264280208msonormal"/>
        <w:shd w:val="clear" w:color="auto" w:fill="FFFFFF"/>
        <w:spacing w:before="0" w:beforeAutospacing="0" w:after="0" w:afterAutospacing="0"/>
        <w:jc w:val="both"/>
        <w:rPr>
          <w:rFonts w:ascii="Georgia" w:hAnsi="Georgia" w:cs="Arial"/>
          <w:color w:val="000000"/>
        </w:rPr>
      </w:pPr>
      <w:r w:rsidRPr="00F223CF">
        <w:rPr>
          <w:rFonts w:ascii="Georgia" w:hAnsi="Georgia" w:cs="Arial"/>
          <w:color w:val="000000"/>
        </w:rPr>
        <w:t>Fossiliferous, </w:t>
      </w:r>
      <w:r w:rsidRPr="00F223CF">
        <w:rPr>
          <w:rFonts w:ascii="Georgia" w:hAnsi="Georgia" w:cs="Arial"/>
          <w:i/>
          <w:iCs/>
          <w:color w:val="000000"/>
        </w:rPr>
        <w:t>Periarchus</w:t>
      </w:r>
      <w:r w:rsidRPr="00F223CF">
        <w:rPr>
          <w:rFonts w:ascii="Georgia" w:hAnsi="Georgia" w:cs="Arial"/>
          <w:color w:val="000000"/>
        </w:rPr>
        <w:t>-bearing sand occurs in the </w:t>
      </w:r>
      <w:r w:rsidRPr="00F223CF">
        <w:rPr>
          <w:rFonts w:ascii="Georgia" w:hAnsi="Georgia" w:cs="Arial"/>
          <w:i/>
          <w:iCs/>
          <w:color w:val="000000"/>
        </w:rPr>
        <w:t>relative</w:t>
      </w:r>
      <w:r w:rsidRPr="00F223CF">
        <w:rPr>
          <w:rFonts w:ascii="Georgia" w:hAnsi="Georgia" w:cs="Arial"/>
          <w:color w:val="000000"/>
        </w:rPr>
        <w:t> stratigraphic position of the Clinchfield in Williston lime pits northwest of Albany and, therefore, is identified as the Clinchfield Sand here. There is no sand deposit in the Clinchfield </w:t>
      </w:r>
      <w:r w:rsidRPr="00F223CF">
        <w:rPr>
          <w:rFonts w:ascii="Georgia" w:hAnsi="Georgia" w:cs="Arial"/>
          <w:i/>
          <w:iCs/>
          <w:color w:val="000000"/>
        </w:rPr>
        <w:t>relative </w:t>
      </w:r>
      <w:r w:rsidRPr="00F223CF">
        <w:rPr>
          <w:rFonts w:ascii="Georgia" w:hAnsi="Georgia" w:cs="Arial"/>
          <w:color w:val="000000"/>
        </w:rPr>
        <w:t xml:space="preserve">stratigraphic position in the Albany core southeast of Albany.  However, there is a limestone unit that occurs above the Lisbon-equivalent limestone (Cook Mountain-equivalent) that is referred to as “Interval 1” in these downdip core logs presented on this web site: the Cockspur Island, </w:t>
      </w:r>
      <w:proofErr w:type="spellStart"/>
      <w:r w:rsidRPr="00F223CF">
        <w:rPr>
          <w:rFonts w:ascii="Georgia" w:hAnsi="Georgia" w:cs="Arial"/>
          <w:color w:val="000000"/>
        </w:rPr>
        <w:t>Pineora</w:t>
      </w:r>
      <w:proofErr w:type="spellEnd"/>
      <w:r w:rsidRPr="00F223CF">
        <w:rPr>
          <w:rFonts w:ascii="Georgia" w:hAnsi="Georgia" w:cs="Arial"/>
          <w:color w:val="000000"/>
        </w:rPr>
        <w:t xml:space="preserve">, Davis Hopkins, and Thomas 5 cores.  This limestone has been identified as occurring in Zone NP17 of the calcareous nannofossil zonation and Zone NP17 is late </w:t>
      </w:r>
      <w:proofErr w:type="spellStart"/>
      <w:r w:rsidRPr="00F223CF">
        <w:rPr>
          <w:rFonts w:ascii="Georgia" w:hAnsi="Georgia" w:cs="Arial"/>
          <w:color w:val="000000"/>
        </w:rPr>
        <w:t>Claibornian</w:t>
      </w:r>
      <w:proofErr w:type="spellEnd"/>
      <w:r w:rsidRPr="00F223CF">
        <w:rPr>
          <w:rFonts w:ascii="Georgia" w:hAnsi="Georgia" w:cs="Arial"/>
          <w:color w:val="000000"/>
        </w:rPr>
        <w:t xml:space="preserve"> in age and is the zone that contains the </w:t>
      </w:r>
      <w:proofErr w:type="spellStart"/>
      <w:r w:rsidRPr="00F223CF">
        <w:rPr>
          <w:rFonts w:ascii="Georgia" w:hAnsi="Georgia" w:cs="Arial"/>
          <w:color w:val="000000"/>
        </w:rPr>
        <w:t>Gosport</w:t>
      </w:r>
      <w:proofErr w:type="spellEnd"/>
      <w:r w:rsidRPr="00F223CF">
        <w:rPr>
          <w:rFonts w:ascii="Georgia" w:hAnsi="Georgia" w:cs="Arial"/>
          <w:color w:val="000000"/>
        </w:rPr>
        <w:t xml:space="preserve"> Sand of Alabama.  In the Savannah River area, the Utley Limestone Member of the Clinchfield Sand thickens downdip in Screven County before disappearing.  It is possible that the “Interval 1” limestone in far downdip cores is a less sandy, thicker lithofacies (or expression) of the Utley Limestone.  With further subsurface information in Screven and northern Effingham Counties, the Utley Limestone may prove to be a legitimate name for the “Interval 1” limestone.</w:t>
      </w:r>
    </w:p>
    <w:p w14:paraId="57D6FFE2" w14:textId="59CA89DC" w:rsidR="007D434A" w:rsidRPr="00F223CF" w:rsidRDefault="007D434A" w:rsidP="00194354">
      <w:pPr>
        <w:pStyle w:val="yiv4264280208msonormal"/>
        <w:shd w:val="clear" w:color="auto" w:fill="FFFFFF"/>
        <w:spacing w:before="0" w:beforeAutospacing="0" w:after="0" w:afterAutospacing="0"/>
        <w:jc w:val="both"/>
        <w:rPr>
          <w:rFonts w:ascii="Georgia" w:hAnsi="Georgia" w:cs="Arial"/>
          <w:color w:val="000000"/>
        </w:rPr>
      </w:pPr>
    </w:p>
    <w:p w14:paraId="4A1792B7" w14:textId="70EFA145" w:rsidR="00C14896" w:rsidRPr="00F223CF" w:rsidRDefault="00C14896" w:rsidP="00194354">
      <w:pPr>
        <w:pStyle w:val="yiv4264280208msonormal"/>
        <w:shd w:val="clear" w:color="auto" w:fill="FFFFFF"/>
        <w:spacing w:before="0" w:beforeAutospacing="0" w:after="0" w:afterAutospacing="0"/>
        <w:jc w:val="both"/>
        <w:rPr>
          <w:rFonts w:ascii="Georgia" w:hAnsi="Georgia" w:cs="Arial"/>
          <w:b/>
          <w:bCs/>
          <w:color w:val="000000"/>
        </w:rPr>
      </w:pPr>
      <w:r w:rsidRPr="00F223CF">
        <w:rPr>
          <w:rFonts w:ascii="Georgia" w:hAnsi="Georgia" w:cs="Arial"/>
          <w:b/>
          <w:bCs/>
          <w:color w:val="000000"/>
        </w:rPr>
        <w:t>Middle Eocene</w:t>
      </w:r>
    </w:p>
    <w:p w14:paraId="6E236D4C" w14:textId="402323DF" w:rsidR="007D434A" w:rsidRPr="00F223CF" w:rsidRDefault="007D434A" w:rsidP="00194354">
      <w:pPr>
        <w:pStyle w:val="yiv4264280208msonormal"/>
        <w:shd w:val="clear" w:color="auto" w:fill="FFFFFF"/>
        <w:spacing w:before="0" w:beforeAutospacing="0" w:after="0" w:afterAutospacing="0"/>
        <w:jc w:val="both"/>
        <w:rPr>
          <w:rFonts w:ascii="Georgia" w:hAnsi="Georgia" w:cs="Arial"/>
          <w:color w:val="000000"/>
        </w:rPr>
      </w:pPr>
      <w:r w:rsidRPr="00F223CF">
        <w:rPr>
          <w:rFonts w:ascii="Georgia" w:hAnsi="Georgia" w:cs="Arial"/>
          <w:color w:val="000000"/>
        </w:rPr>
        <w:t>The stratigraphic sequence within the Middle Eocene has not yet been completely resolved across the eastern Gulf and lower Atlantic Coastal Plains, from Mississippi through Georgia (as can be inferred from the above discussion).  The most completely subdivided and named Middle Eocene sequence is that of the eastern Mississippi outcrop area.</w:t>
      </w:r>
      <w:r w:rsidR="0068438C" w:rsidRPr="00F223CF">
        <w:rPr>
          <w:rFonts w:ascii="Georgia" w:hAnsi="Georgia" w:cs="Arial"/>
          <w:color w:val="000000"/>
        </w:rPr>
        <w:t xml:space="preserve"> </w:t>
      </w:r>
      <w:r w:rsidRPr="00F223CF">
        <w:rPr>
          <w:rFonts w:ascii="Georgia" w:hAnsi="Georgia" w:cs="Arial"/>
          <w:color w:val="000000"/>
        </w:rPr>
        <w:t xml:space="preserve">The upper part of the Middle Eocene there (underlying the </w:t>
      </w:r>
      <w:proofErr w:type="spellStart"/>
      <w:r w:rsidRPr="00F223CF">
        <w:rPr>
          <w:rFonts w:ascii="Georgia" w:hAnsi="Georgia" w:cs="Arial"/>
          <w:color w:val="000000"/>
        </w:rPr>
        <w:t>Yegua</w:t>
      </w:r>
      <w:proofErr w:type="spellEnd"/>
      <w:r w:rsidRPr="00F223CF">
        <w:rPr>
          <w:rFonts w:ascii="Georgia" w:hAnsi="Georgia" w:cs="Arial"/>
          <w:color w:val="000000"/>
        </w:rPr>
        <w:t>-Cockfield (</w:t>
      </w:r>
      <w:proofErr w:type="spellStart"/>
      <w:r w:rsidRPr="00F223CF">
        <w:rPr>
          <w:rFonts w:ascii="Georgia" w:hAnsi="Georgia" w:cs="Arial"/>
          <w:color w:val="000000"/>
        </w:rPr>
        <w:t>Gosport</w:t>
      </w:r>
      <w:proofErr w:type="spellEnd"/>
      <w:r w:rsidRPr="00F223CF">
        <w:rPr>
          <w:rFonts w:ascii="Georgia" w:hAnsi="Georgia" w:cs="Arial"/>
          <w:color w:val="000000"/>
        </w:rPr>
        <w:t xml:space="preserve"> Sand-equivalent), is the Cook Mountain Formation of the Northern Gulf Coastal Plain (the </w:t>
      </w:r>
      <w:proofErr w:type="spellStart"/>
      <w:r w:rsidRPr="00F223CF">
        <w:rPr>
          <w:rFonts w:ascii="Georgia" w:hAnsi="Georgia" w:cs="Arial"/>
          <w:color w:val="000000"/>
        </w:rPr>
        <w:t>Wautubbee</w:t>
      </w:r>
      <w:proofErr w:type="spellEnd"/>
      <w:r w:rsidRPr="00F223CF">
        <w:rPr>
          <w:rFonts w:ascii="Georgia" w:hAnsi="Georgia" w:cs="Arial"/>
          <w:color w:val="000000"/>
        </w:rPr>
        <w:t xml:space="preserve"> Formation in Mississippi) and </w:t>
      </w:r>
      <w:proofErr w:type="spellStart"/>
      <w:r w:rsidRPr="00F223CF">
        <w:rPr>
          <w:rFonts w:ascii="Georgia" w:hAnsi="Georgia" w:cs="Arial"/>
          <w:color w:val="000000"/>
        </w:rPr>
        <w:t>biostratigraphically</w:t>
      </w:r>
      <w:proofErr w:type="spellEnd"/>
      <w:r w:rsidRPr="00F223CF">
        <w:rPr>
          <w:rFonts w:ascii="Georgia" w:hAnsi="Georgia" w:cs="Arial"/>
          <w:color w:val="000000"/>
        </w:rPr>
        <w:t xml:space="preserve"> is characterized by</w:t>
      </w:r>
      <w:r w:rsidR="00155167" w:rsidRPr="00F223CF">
        <w:rPr>
          <w:rFonts w:ascii="Georgia" w:hAnsi="Georgia" w:cs="Arial"/>
          <w:color w:val="000000"/>
        </w:rPr>
        <w:t xml:space="preserve"> </w:t>
      </w:r>
      <w:r w:rsidRPr="00F223CF">
        <w:rPr>
          <w:rFonts w:ascii="Georgia" w:hAnsi="Georgia" w:cs="Arial"/>
          <w:color w:val="000000"/>
        </w:rPr>
        <w:t>the </w:t>
      </w:r>
      <w:proofErr w:type="spellStart"/>
      <w:r w:rsidRPr="00F223CF">
        <w:rPr>
          <w:rFonts w:ascii="Georgia" w:hAnsi="Georgia" w:cs="Arial"/>
          <w:i/>
          <w:iCs/>
          <w:color w:val="000000"/>
        </w:rPr>
        <w:t>Cubitoastrea</w:t>
      </w:r>
      <w:proofErr w:type="spellEnd"/>
      <w:r w:rsidR="00155167" w:rsidRPr="00F223CF">
        <w:rPr>
          <w:rFonts w:ascii="Georgia" w:hAnsi="Georgia" w:cs="Arial"/>
          <w:i/>
          <w:iCs/>
          <w:color w:val="000000"/>
        </w:rPr>
        <w:t xml:space="preserve"> </w:t>
      </w:r>
      <w:proofErr w:type="spellStart"/>
      <w:r w:rsidRPr="00F223CF">
        <w:rPr>
          <w:rFonts w:ascii="Georgia" w:hAnsi="Georgia" w:cs="Arial"/>
          <w:i/>
          <w:iCs/>
          <w:color w:val="000000"/>
        </w:rPr>
        <w:t>sellaeformis</w:t>
      </w:r>
      <w:proofErr w:type="spellEnd"/>
      <w:r w:rsidR="00155167" w:rsidRPr="00F223CF">
        <w:rPr>
          <w:rFonts w:ascii="Georgia" w:hAnsi="Georgia" w:cs="Arial"/>
          <w:i/>
          <w:iCs/>
          <w:color w:val="000000"/>
        </w:rPr>
        <w:t xml:space="preserve"> </w:t>
      </w:r>
      <w:r w:rsidRPr="00F223CF">
        <w:rPr>
          <w:rFonts w:ascii="Georgia" w:hAnsi="Georgia" w:cs="Arial"/>
          <w:color w:val="000000"/>
        </w:rPr>
        <w:t>Zone (</w:t>
      </w:r>
      <w:r w:rsidRPr="00F223CF">
        <w:rPr>
          <w:rFonts w:ascii="Georgia" w:hAnsi="Georgia" w:cs="Arial"/>
          <w:i/>
          <w:iCs/>
          <w:color w:val="000000"/>
        </w:rPr>
        <w:t>C</w:t>
      </w:r>
      <w:r w:rsidRPr="00F223CF">
        <w:rPr>
          <w:rFonts w:ascii="Georgia" w:hAnsi="Georgia" w:cs="Arial"/>
          <w:color w:val="000000"/>
        </w:rPr>
        <w:t>. </w:t>
      </w:r>
      <w:proofErr w:type="spellStart"/>
      <w:r w:rsidRPr="00F223CF">
        <w:rPr>
          <w:rFonts w:ascii="Georgia" w:hAnsi="Georgia" w:cs="Arial"/>
          <w:i/>
          <w:iCs/>
          <w:color w:val="000000"/>
        </w:rPr>
        <w:t>sellaeformis</w:t>
      </w:r>
      <w:proofErr w:type="spellEnd"/>
      <w:r w:rsidRPr="00F223CF">
        <w:rPr>
          <w:rFonts w:ascii="Georgia" w:hAnsi="Georgia" w:cs="Arial"/>
          <w:color w:val="000000"/>
        </w:rPr>
        <w:t> is</w:t>
      </w:r>
      <w:r w:rsidR="00155167" w:rsidRPr="00F223CF">
        <w:rPr>
          <w:rFonts w:ascii="Georgia" w:hAnsi="Georgia" w:cs="Arial"/>
          <w:color w:val="000000"/>
        </w:rPr>
        <w:t xml:space="preserve"> </w:t>
      </w:r>
      <w:r w:rsidRPr="00F223CF">
        <w:rPr>
          <w:rFonts w:ascii="Georgia" w:hAnsi="Georgia" w:cs="Arial"/>
          <w:color w:val="000000"/>
        </w:rPr>
        <w:t>a</w:t>
      </w:r>
      <w:r w:rsidR="00155167" w:rsidRPr="00F223CF">
        <w:rPr>
          <w:rFonts w:ascii="Georgia" w:hAnsi="Georgia" w:cs="Arial"/>
          <w:color w:val="000000"/>
        </w:rPr>
        <w:t xml:space="preserve"> </w:t>
      </w:r>
      <w:r w:rsidRPr="00F223CF">
        <w:rPr>
          <w:rFonts w:ascii="Georgia" w:hAnsi="Georgia" w:cs="Arial"/>
          <w:color w:val="000000"/>
        </w:rPr>
        <w:t>large,</w:t>
      </w:r>
      <w:r w:rsidR="003111AC" w:rsidRPr="00F223CF">
        <w:rPr>
          <w:rFonts w:ascii="Georgia" w:hAnsi="Georgia" w:cs="Arial"/>
          <w:color w:val="000000"/>
        </w:rPr>
        <w:t xml:space="preserve"> </w:t>
      </w:r>
      <w:r w:rsidRPr="00F223CF">
        <w:rPr>
          <w:rFonts w:ascii="Georgia" w:hAnsi="Georgia" w:cs="Arial"/>
          <w:color w:val="000000"/>
        </w:rPr>
        <w:t xml:space="preserve">saddle shaped oyster). The named members of the Cook Mountain in eastern Mississippi are, from younger to older, the Gordon Creek Shale Member, the </w:t>
      </w:r>
      <w:proofErr w:type="spellStart"/>
      <w:r w:rsidRPr="00F223CF">
        <w:rPr>
          <w:rFonts w:ascii="Georgia" w:hAnsi="Georgia" w:cs="Arial"/>
          <w:color w:val="000000"/>
        </w:rPr>
        <w:t>Potterchitto</w:t>
      </w:r>
      <w:proofErr w:type="spellEnd"/>
      <w:r w:rsidRPr="00F223CF">
        <w:rPr>
          <w:rFonts w:ascii="Georgia" w:hAnsi="Georgia" w:cs="Arial"/>
          <w:color w:val="000000"/>
        </w:rPr>
        <w:t xml:space="preserve"> Member, and the </w:t>
      </w:r>
      <w:proofErr w:type="spellStart"/>
      <w:r w:rsidRPr="00F223CF">
        <w:rPr>
          <w:rFonts w:ascii="Georgia" w:hAnsi="Georgia" w:cs="Arial"/>
          <w:color w:val="000000"/>
        </w:rPr>
        <w:t>Archusa</w:t>
      </w:r>
      <w:proofErr w:type="spellEnd"/>
      <w:r w:rsidRPr="00F223CF">
        <w:rPr>
          <w:rFonts w:ascii="Georgia" w:hAnsi="Georgia" w:cs="Arial"/>
          <w:color w:val="000000"/>
        </w:rPr>
        <w:t xml:space="preserve"> Marl Member. This sequence grades into the upper Lisbon in Alabama and, in eastern Alabama according to Lyman Toulmin, only the upper-most part of the Cook Mountain subdivisions </w:t>
      </w:r>
      <w:proofErr w:type="gramStart"/>
      <w:r w:rsidRPr="00F223CF">
        <w:rPr>
          <w:rFonts w:ascii="Georgia" w:hAnsi="Georgia" w:cs="Arial"/>
          <w:color w:val="000000"/>
        </w:rPr>
        <w:t>are</w:t>
      </w:r>
      <w:proofErr w:type="gramEnd"/>
      <w:r w:rsidRPr="00F223CF">
        <w:rPr>
          <w:rFonts w:ascii="Georgia" w:hAnsi="Georgia" w:cs="Arial"/>
          <w:color w:val="000000"/>
        </w:rPr>
        <w:t xml:space="preserve"> present on the Chattahoochee River. Similarly, in the Lisbon outcrop area of Georgia, only the upper-most subdivision is recognized from the Chattahoochee River to the Savannah River.  In </w:t>
      </w:r>
      <w:proofErr w:type="gramStart"/>
      <w:r w:rsidRPr="00F223CF">
        <w:rPr>
          <w:rFonts w:ascii="Georgia" w:hAnsi="Georgia" w:cs="Arial"/>
          <w:color w:val="000000"/>
        </w:rPr>
        <w:t>Georgia</w:t>
      </w:r>
      <w:proofErr w:type="gramEnd"/>
      <w:r w:rsidRPr="00F223CF">
        <w:rPr>
          <w:rFonts w:ascii="Georgia" w:hAnsi="Georgia" w:cs="Arial"/>
          <w:color w:val="000000"/>
        </w:rPr>
        <w:t xml:space="preserve"> the Blue Bluff Member of the Lisbon Formation differs from typical Lisbon Formation in being finer grained/textured and more calcareous.</w:t>
      </w:r>
    </w:p>
    <w:p w14:paraId="7C62BB35" w14:textId="77777777" w:rsidR="00AE2AF7" w:rsidRPr="00F223CF" w:rsidRDefault="00AE2AF7" w:rsidP="00194354">
      <w:pPr>
        <w:pStyle w:val="yiv4264280208msonormal"/>
        <w:shd w:val="clear" w:color="auto" w:fill="FFFFFF"/>
        <w:spacing w:before="0" w:beforeAutospacing="0" w:after="0" w:afterAutospacing="0"/>
        <w:jc w:val="both"/>
        <w:rPr>
          <w:rFonts w:ascii="Georgia" w:hAnsi="Georgia" w:cs="Arial"/>
          <w:color w:val="000000"/>
        </w:rPr>
      </w:pPr>
    </w:p>
    <w:p w14:paraId="5A33E549" w14:textId="77777777" w:rsidR="006800E5" w:rsidRDefault="00AE2AF7" w:rsidP="00194354">
      <w:pPr>
        <w:pStyle w:val="yiv4264280208msonormal"/>
        <w:shd w:val="clear" w:color="auto" w:fill="FFFFFF"/>
        <w:spacing w:before="0" w:beforeAutospacing="0" w:after="0" w:afterAutospacing="0"/>
        <w:jc w:val="both"/>
        <w:rPr>
          <w:rFonts w:ascii="Georgia" w:hAnsi="Georgia" w:cs="Arial"/>
          <w:b/>
          <w:bCs/>
          <w:color w:val="000000"/>
        </w:rPr>
      </w:pPr>
      <w:r w:rsidRPr="00F223CF">
        <w:rPr>
          <w:rFonts w:ascii="Georgia" w:hAnsi="Georgia" w:cs="Arial"/>
          <w:b/>
          <w:bCs/>
          <w:color w:val="000000"/>
        </w:rPr>
        <w:t>Blue Bluff Format</w:t>
      </w:r>
      <w:r w:rsidR="005F1A59" w:rsidRPr="00F223CF">
        <w:rPr>
          <w:rFonts w:ascii="Georgia" w:hAnsi="Georgia" w:cs="Arial"/>
          <w:b/>
          <w:bCs/>
          <w:color w:val="000000"/>
        </w:rPr>
        <w:t>i</w:t>
      </w:r>
      <w:r w:rsidRPr="00F223CF">
        <w:rPr>
          <w:rFonts w:ascii="Georgia" w:hAnsi="Georgia" w:cs="Arial"/>
          <w:b/>
          <w:bCs/>
          <w:color w:val="000000"/>
        </w:rPr>
        <w:t>on</w:t>
      </w:r>
    </w:p>
    <w:p w14:paraId="6024E189" w14:textId="5637B993" w:rsidR="007D434A" w:rsidRPr="00F223CF" w:rsidRDefault="00E02ED6" w:rsidP="00194354">
      <w:pPr>
        <w:pStyle w:val="yiv4264280208msonormal"/>
        <w:shd w:val="clear" w:color="auto" w:fill="FFFFFF"/>
        <w:spacing w:before="0" w:beforeAutospacing="0" w:after="0" w:afterAutospacing="0"/>
        <w:jc w:val="both"/>
        <w:rPr>
          <w:rFonts w:ascii="Georgia" w:hAnsi="Georgia" w:cs="Arial"/>
          <w:b/>
          <w:bCs/>
          <w:color w:val="000000"/>
        </w:rPr>
      </w:pPr>
      <w:r>
        <w:rPr>
          <w:rFonts w:ascii="Georgia" w:hAnsi="Georgia" w:cs="Arial"/>
          <w:b/>
          <w:bCs/>
          <w:color w:val="000000"/>
        </w:rPr>
        <w:t xml:space="preserve">Perry Sand, Mossy Creek Sand, </w:t>
      </w:r>
      <w:r w:rsidR="004B76EA">
        <w:rPr>
          <w:rFonts w:ascii="Georgia" w:hAnsi="Georgia" w:cs="Arial"/>
          <w:b/>
          <w:bCs/>
          <w:color w:val="000000"/>
        </w:rPr>
        <w:t>&amp; Marshallville Formation</w:t>
      </w:r>
      <w:r w:rsidR="007D434A" w:rsidRPr="00F223CF">
        <w:rPr>
          <w:rFonts w:ascii="Georgia" w:hAnsi="Georgia" w:cs="Arial"/>
          <w:b/>
          <w:bCs/>
          <w:color w:val="000000"/>
        </w:rPr>
        <w:t> </w:t>
      </w:r>
    </w:p>
    <w:p w14:paraId="01ED3863" w14:textId="2EBD96EA" w:rsidR="007D434A" w:rsidRPr="00F223CF" w:rsidRDefault="007D434A" w:rsidP="00194354">
      <w:pPr>
        <w:pStyle w:val="yiv4264280208msonormal"/>
        <w:shd w:val="clear" w:color="auto" w:fill="FFFFFF"/>
        <w:spacing w:before="0" w:beforeAutospacing="0" w:after="0" w:afterAutospacing="0"/>
        <w:jc w:val="both"/>
        <w:rPr>
          <w:rFonts w:ascii="Georgia" w:hAnsi="Georgia" w:cs="Arial"/>
          <w:color w:val="000000"/>
        </w:rPr>
      </w:pPr>
      <w:r w:rsidRPr="00F223CF">
        <w:rPr>
          <w:rFonts w:ascii="Georgia" w:hAnsi="Georgia" w:cs="Arial"/>
          <w:color w:val="000000"/>
        </w:rPr>
        <w:lastRenderedPageBreak/>
        <w:t xml:space="preserve">In Georgia, the Blue Bluff </w:t>
      </w:r>
      <w:r w:rsidR="00EF5034" w:rsidRPr="00F223CF">
        <w:rPr>
          <w:rFonts w:ascii="Georgia" w:hAnsi="Georgia" w:cs="Arial"/>
          <w:color w:val="000000"/>
        </w:rPr>
        <w:t xml:space="preserve">(source matrix for the whale </w:t>
      </w:r>
      <w:r w:rsidR="00EF5034" w:rsidRPr="00F223CF">
        <w:rPr>
          <w:rFonts w:ascii="Georgia" w:hAnsi="Georgia" w:cs="Arial"/>
          <w:i/>
          <w:iCs/>
          <w:color w:val="000000"/>
        </w:rPr>
        <w:t>Georgiacetus vogtlensis</w:t>
      </w:r>
      <w:r w:rsidR="00EF5034" w:rsidRPr="00F223CF">
        <w:rPr>
          <w:rFonts w:ascii="Georgia" w:hAnsi="Georgia" w:cs="Arial"/>
          <w:color w:val="000000"/>
        </w:rPr>
        <w:t xml:space="preserve">) </w:t>
      </w:r>
      <w:r w:rsidRPr="00F223CF">
        <w:rPr>
          <w:rFonts w:ascii="Georgia" w:hAnsi="Georgia" w:cs="Arial"/>
          <w:color w:val="000000"/>
        </w:rPr>
        <w:t xml:space="preserve">grades laterally </w:t>
      </w:r>
      <w:proofErr w:type="spellStart"/>
      <w:r w:rsidRPr="00F223CF">
        <w:rPr>
          <w:rFonts w:ascii="Georgia" w:hAnsi="Georgia" w:cs="Arial"/>
          <w:color w:val="000000"/>
        </w:rPr>
        <w:t>updip</w:t>
      </w:r>
      <w:proofErr w:type="spellEnd"/>
      <w:r w:rsidRPr="00F223CF">
        <w:rPr>
          <w:rFonts w:ascii="Georgia" w:hAnsi="Georgia" w:cs="Arial"/>
          <w:color w:val="000000"/>
        </w:rPr>
        <w:t xml:space="preserve">/shoreward into the shoreface lithofacies of the Perry Sand, a very distinctive lithostratigraphic sand unit, but occurring in a relatively narrow band across southwestern and central Georgia, and into South Carolina.  In the Fort Valley region and eastward to the Ocmulgee River area, the Perry Sand is known to grade laterally </w:t>
      </w:r>
      <w:proofErr w:type="spellStart"/>
      <w:r w:rsidRPr="00F223CF">
        <w:rPr>
          <w:rFonts w:ascii="Georgia" w:hAnsi="Georgia" w:cs="Arial"/>
          <w:color w:val="000000"/>
        </w:rPr>
        <w:t>updip</w:t>
      </w:r>
      <w:proofErr w:type="spellEnd"/>
      <w:r w:rsidRPr="00F223CF">
        <w:rPr>
          <w:rFonts w:ascii="Georgia" w:hAnsi="Georgia" w:cs="Arial"/>
          <w:color w:val="000000"/>
        </w:rPr>
        <w:t xml:space="preserve">/shoreward into a coarser grained sand reminiscent of the Tobacco Road Sand, the Mossy </w:t>
      </w:r>
      <w:r w:rsidR="002C7CB1" w:rsidRPr="00F223CF">
        <w:rPr>
          <w:rFonts w:ascii="Georgia" w:hAnsi="Georgia" w:cs="Arial"/>
          <w:color w:val="000000"/>
        </w:rPr>
        <w:t>C</w:t>
      </w:r>
      <w:r w:rsidRPr="00F223CF">
        <w:rPr>
          <w:rFonts w:ascii="Georgia" w:hAnsi="Georgia" w:cs="Arial"/>
          <w:color w:val="000000"/>
        </w:rPr>
        <w:t xml:space="preserve">reek Sand.  Both the Mossy Creek Sand and the Perry Sand are known to grade laterally </w:t>
      </w:r>
      <w:proofErr w:type="spellStart"/>
      <w:r w:rsidRPr="00F223CF">
        <w:rPr>
          <w:rFonts w:ascii="Georgia" w:hAnsi="Georgia" w:cs="Arial"/>
          <w:color w:val="000000"/>
        </w:rPr>
        <w:t>updip</w:t>
      </w:r>
      <w:proofErr w:type="spellEnd"/>
      <w:r w:rsidRPr="00F223CF">
        <w:rPr>
          <w:rFonts w:ascii="Georgia" w:hAnsi="Georgia" w:cs="Arial"/>
          <w:color w:val="000000"/>
        </w:rPr>
        <w:t xml:space="preserve"> again into the nonmarine, Blue Bluff-</w:t>
      </w:r>
      <w:proofErr w:type="gramStart"/>
      <w:r w:rsidRPr="00F223CF">
        <w:rPr>
          <w:rFonts w:ascii="Georgia" w:hAnsi="Georgia" w:cs="Arial"/>
          <w:color w:val="000000"/>
        </w:rPr>
        <w:t>equivalent,  Jeffersonville</w:t>
      </w:r>
      <w:proofErr w:type="gramEnd"/>
      <w:r w:rsidRPr="00F223CF">
        <w:rPr>
          <w:rFonts w:ascii="Georgia" w:hAnsi="Georgia" w:cs="Arial"/>
          <w:color w:val="000000"/>
        </w:rPr>
        <w:t xml:space="preserve"> Member of the Huber Formation.  Additionally, there is an informal sand deposit exposed in the Gaillard sand pits in Crawford County, that overlies the truncated Marshallville Formation called the Butler-</w:t>
      </w:r>
      <w:proofErr w:type="spellStart"/>
      <w:r w:rsidRPr="00F223CF">
        <w:rPr>
          <w:rFonts w:ascii="Georgia" w:hAnsi="Georgia" w:cs="Arial"/>
          <w:color w:val="000000"/>
        </w:rPr>
        <w:t>Allon</w:t>
      </w:r>
      <w:proofErr w:type="spellEnd"/>
      <w:r w:rsidRPr="00F223CF">
        <w:rPr>
          <w:rFonts w:ascii="Georgia" w:hAnsi="Georgia" w:cs="Arial"/>
          <w:color w:val="000000"/>
        </w:rPr>
        <w:t xml:space="preserve"> channel deposits by </w:t>
      </w:r>
      <w:proofErr w:type="spellStart"/>
      <w:r w:rsidRPr="00F223CF">
        <w:rPr>
          <w:rFonts w:ascii="Georgia" w:hAnsi="Georgia" w:cs="Arial"/>
          <w:color w:val="000000"/>
        </w:rPr>
        <w:t>Huddlestun</w:t>
      </w:r>
      <w:proofErr w:type="spellEnd"/>
      <w:r w:rsidRPr="00F223CF">
        <w:rPr>
          <w:rFonts w:ascii="Georgia" w:hAnsi="Georgia" w:cs="Arial"/>
          <w:color w:val="000000"/>
        </w:rPr>
        <w:t xml:space="preserve"> and Hetrick (1991).  The Butler-</w:t>
      </w:r>
      <w:proofErr w:type="spellStart"/>
      <w:r w:rsidRPr="00F223CF">
        <w:rPr>
          <w:rFonts w:ascii="Georgia" w:hAnsi="Georgia" w:cs="Arial"/>
          <w:color w:val="000000"/>
        </w:rPr>
        <w:t>Allon</w:t>
      </w:r>
      <w:proofErr w:type="spellEnd"/>
      <w:r w:rsidRPr="00F223CF">
        <w:rPr>
          <w:rFonts w:ascii="Georgia" w:hAnsi="Georgia" w:cs="Arial"/>
          <w:color w:val="000000"/>
        </w:rPr>
        <w:t xml:space="preserve"> channel deposits appear to be a channel-fill deposit of the earliest, late Middle Eocene transgression in the area.</w:t>
      </w:r>
    </w:p>
    <w:p w14:paraId="081A0B5F" w14:textId="77777777" w:rsidR="006E69BF" w:rsidRDefault="006E69BF" w:rsidP="00194354">
      <w:pPr>
        <w:pStyle w:val="yiv4264280208msonormal"/>
        <w:shd w:val="clear" w:color="auto" w:fill="FFFFFF"/>
        <w:spacing w:before="0" w:beforeAutospacing="0" w:after="0" w:afterAutospacing="0"/>
        <w:jc w:val="both"/>
        <w:rPr>
          <w:rFonts w:ascii="Georgia" w:hAnsi="Georgia" w:cs="Arial"/>
          <w:color w:val="000000"/>
        </w:rPr>
      </w:pPr>
    </w:p>
    <w:p w14:paraId="0498EBDC" w14:textId="4CC16E66" w:rsidR="007D434A" w:rsidRPr="00804921" w:rsidRDefault="006E69BF" w:rsidP="00194354">
      <w:pPr>
        <w:pStyle w:val="yiv4264280208msonormal"/>
        <w:shd w:val="clear" w:color="auto" w:fill="FFFFFF"/>
        <w:spacing w:before="0" w:beforeAutospacing="0" w:after="0" w:afterAutospacing="0"/>
        <w:jc w:val="both"/>
        <w:rPr>
          <w:rFonts w:ascii="Georgia" w:hAnsi="Georgia" w:cs="Arial"/>
          <w:b/>
          <w:bCs/>
          <w:color w:val="000000"/>
        </w:rPr>
      </w:pPr>
      <w:r w:rsidRPr="00804921">
        <w:rPr>
          <w:rFonts w:ascii="Georgia" w:hAnsi="Georgia" w:cs="Arial"/>
          <w:b/>
          <w:bCs/>
          <w:color w:val="000000"/>
        </w:rPr>
        <w:t>Hard Kaolin beneath the Perry Sand</w:t>
      </w:r>
      <w:r w:rsidR="00804921" w:rsidRPr="00804921">
        <w:rPr>
          <w:rFonts w:ascii="Georgia" w:hAnsi="Georgia" w:cs="Arial"/>
          <w:b/>
          <w:bCs/>
          <w:color w:val="000000"/>
        </w:rPr>
        <w:t xml:space="preserve"> &amp; Blue Bluff</w:t>
      </w:r>
      <w:r w:rsidR="007D434A" w:rsidRPr="00804921">
        <w:rPr>
          <w:rFonts w:ascii="Georgia" w:hAnsi="Georgia" w:cs="Arial"/>
          <w:b/>
          <w:bCs/>
          <w:color w:val="000000"/>
        </w:rPr>
        <w:t> </w:t>
      </w:r>
    </w:p>
    <w:p w14:paraId="799D0BBF" w14:textId="7C008CE4" w:rsidR="007D434A" w:rsidRPr="00F223CF" w:rsidRDefault="007D434A" w:rsidP="00194354">
      <w:pPr>
        <w:pStyle w:val="yiv4264280208msonormal"/>
        <w:shd w:val="clear" w:color="auto" w:fill="FFFFFF"/>
        <w:spacing w:before="0" w:beforeAutospacing="0" w:after="0" w:afterAutospacing="0"/>
        <w:jc w:val="both"/>
        <w:rPr>
          <w:rFonts w:ascii="Georgia" w:hAnsi="Georgia" w:cs="Arial"/>
          <w:color w:val="000000"/>
        </w:rPr>
      </w:pPr>
      <w:r w:rsidRPr="00F223CF">
        <w:rPr>
          <w:rFonts w:ascii="Georgia" w:hAnsi="Georgia" w:cs="Arial"/>
          <w:color w:val="000000"/>
        </w:rPr>
        <w:t xml:space="preserve">There </w:t>
      </w:r>
      <w:proofErr w:type="gramStart"/>
      <w:r w:rsidRPr="00F223CF">
        <w:rPr>
          <w:rFonts w:ascii="Georgia" w:hAnsi="Georgia" w:cs="Arial"/>
          <w:color w:val="000000"/>
        </w:rPr>
        <w:t>are</w:t>
      </w:r>
      <w:proofErr w:type="gramEnd"/>
      <w:r w:rsidRPr="00F223CF">
        <w:rPr>
          <w:rFonts w:ascii="Georgia" w:hAnsi="Georgia" w:cs="Arial"/>
          <w:color w:val="000000"/>
        </w:rPr>
        <w:t xml:space="preserve"> “hard” kaolin, stratigraphic units that underlie the Perry Sand and Blue Bluff Member of the Lisbon in the downdip region of the kaolin belt.  The </w:t>
      </w:r>
      <w:r w:rsidRPr="00F223CF">
        <w:rPr>
          <w:rFonts w:ascii="Georgia" w:hAnsi="Georgia" w:cs="Arial"/>
          <w:i/>
          <w:iCs/>
          <w:color w:val="000000"/>
        </w:rPr>
        <w:t>real </w:t>
      </w:r>
      <w:r w:rsidRPr="00F223CF">
        <w:rPr>
          <w:rFonts w:ascii="Georgia" w:hAnsi="Georgia" w:cs="Arial"/>
          <w:color w:val="000000"/>
        </w:rPr>
        <w:t xml:space="preserve">stratigraphic positions of these kaolin subdivisions of the Huber </w:t>
      </w:r>
      <w:proofErr w:type="gramStart"/>
      <w:r w:rsidRPr="00F223CF">
        <w:rPr>
          <w:rFonts w:ascii="Georgia" w:hAnsi="Georgia" w:cs="Arial"/>
          <w:color w:val="000000"/>
        </w:rPr>
        <w:t>have</w:t>
      </w:r>
      <w:r w:rsidR="000D3A1D" w:rsidRPr="00F223CF">
        <w:rPr>
          <w:rFonts w:ascii="Georgia" w:hAnsi="Georgia" w:cs="Arial"/>
          <w:color w:val="000000"/>
        </w:rPr>
        <w:t>n’</w:t>
      </w:r>
      <w:r w:rsidRPr="00F223CF">
        <w:rPr>
          <w:rFonts w:ascii="Georgia" w:hAnsi="Georgia" w:cs="Arial"/>
          <w:color w:val="000000"/>
        </w:rPr>
        <w:t>t</w:t>
      </w:r>
      <w:proofErr w:type="gramEnd"/>
      <w:r w:rsidRPr="00F223CF">
        <w:rPr>
          <w:rFonts w:ascii="Georgia" w:hAnsi="Georgia" w:cs="Arial"/>
          <w:color w:val="000000"/>
        </w:rPr>
        <w:t xml:space="preserve"> yet been documented although pollen studies have indicated that earlier </w:t>
      </w:r>
      <w:proofErr w:type="spellStart"/>
      <w:r w:rsidRPr="00F223CF">
        <w:rPr>
          <w:rFonts w:ascii="Georgia" w:hAnsi="Georgia" w:cs="Arial"/>
          <w:color w:val="000000"/>
        </w:rPr>
        <w:t>Claibornian</w:t>
      </w:r>
      <w:proofErr w:type="spellEnd"/>
      <w:r w:rsidRPr="00F223CF">
        <w:rPr>
          <w:rFonts w:ascii="Georgia" w:hAnsi="Georgia" w:cs="Arial"/>
          <w:color w:val="000000"/>
        </w:rPr>
        <w:t xml:space="preserve"> units are also present in the kaolin belt. Where such kaolin units are identifiable in cores, such as the Arrowhead core in Pulaski County, the kaolinitic deposit underlying the Perry/Blue Bluff-equivalent kaolinitic unit is arbitrarily referred to the early Lisbon, Still Branch, depositional interval.  Because this Pre-Blue Bluff, Lisbon kaolinitic subdivision is a real, unnamed stratigraphic subdivision of the Huber Formation, the name Jeffersonville for the uppermost subdivision of the Huber Formation is retained in this report.</w:t>
      </w:r>
    </w:p>
    <w:p w14:paraId="18D89165" w14:textId="77777777" w:rsidR="007D434A" w:rsidRPr="00F223CF" w:rsidRDefault="007D434A" w:rsidP="00194354">
      <w:pPr>
        <w:pStyle w:val="yiv4264280208msonormal"/>
        <w:shd w:val="clear" w:color="auto" w:fill="FFFFFF"/>
        <w:spacing w:before="0" w:beforeAutospacing="0" w:after="0" w:afterAutospacing="0"/>
        <w:jc w:val="both"/>
        <w:rPr>
          <w:rFonts w:ascii="Georgia" w:hAnsi="Georgia" w:cs="Arial"/>
          <w:color w:val="000000"/>
        </w:rPr>
      </w:pPr>
      <w:r w:rsidRPr="00F223CF">
        <w:rPr>
          <w:rFonts w:ascii="Georgia" w:hAnsi="Georgia" w:cs="Arial"/>
          <w:color w:val="000000"/>
        </w:rPr>
        <w:t> </w:t>
      </w:r>
    </w:p>
    <w:p w14:paraId="474E935A" w14:textId="77777777" w:rsidR="007D434A" w:rsidRPr="00F223CF" w:rsidRDefault="007D434A" w:rsidP="00194354">
      <w:pPr>
        <w:pStyle w:val="yiv4264280208msonormal"/>
        <w:shd w:val="clear" w:color="auto" w:fill="FFFFFF"/>
        <w:spacing w:before="0" w:beforeAutospacing="0" w:after="0" w:afterAutospacing="0"/>
        <w:jc w:val="both"/>
        <w:rPr>
          <w:rFonts w:ascii="Georgia" w:hAnsi="Georgia" w:cs="Arial"/>
          <w:color w:val="000000"/>
        </w:rPr>
      </w:pPr>
      <w:r w:rsidRPr="00F223CF">
        <w:rPr>
          <w:rFonts w:ascii="Georgia" w:hAnsi="Georgia" w:cs="Arial"/>
          <w:color w:val="000000"/>
        </w:rPr>
        <w:t>Beneath the Cooke Mountain is the Kosciusko-Sparta Sand in Mississippi, which is in the </w:t>
      </w:r>
      <w:proofErr w:type="spellStart"/>
      <w:r w:rsidRPr="00F223CF">
        <w:rPr>
          <w:rFonts w:ascii="Georgia" w:hAnsi="Georgia" w:cs="Arial"/>
          <w:i/>
          <w:iCs/>
          <w:color w:val="000000"/>
        </w:rPr>
        <w:t>Cubitostrea</w:t>
      </w:r>
      <w:proofErr w:type="spellEnd"/>
      <w:r w:rsidRPr="00F223CF">
        <w:rPr>
          <w:rFonts w:ascii="Georgia" w:hAnsi="Georgia" w:cs="Arial"/>
          <w:i/>
          <w:iCs/>
          <w:color w:val="000000"/>
        </w:rPr>
        <w:t xml:space="preserve"> </w:t>
      </w:r>
      <w:proofErr w:type="spellStart"/>
      <w:r w:rsidRPr="00F223CF">
        <w:rPr>
          <w:rFonts w:ascii="Georgia" w:hAnsi="Georgia" w:cs="Arial"/>
          <w:i/>
          <w:iCs/>
          <w:color w:val="000000"/>
        </w:rPr>
        <w:t>smithvillensis</w:t>
      </w:r>
      <w:proofErr w:type="spellEnd"/>
      <w:r w:rsidRPr="00F223CF">
        <w:rPr>
          <w:rFonts w:ascii="Georgia" w:hAnsi="Georgia" w:cs="Arial"/>
          <w:color w:val="000000"/>
        </w:rPr>
        <w:t> Zone (the immediate ancestor of </w:t>
      </w:r>
      <w:r w:rsidRPr="00F223CF">
        <w:rPr>
          <w:rFonts w:ascii="Georgia" w:hAnsi="Georgia" w:cs="Arial"/>
          <w:i/>
          <w:iCs/>
          <w:color w:val="000000"/>
        </w:rPr>
        <w:t xml:space="preserve">C. </w:t>
      </w:r>
      <w:proofErr w:type="spellStart"/>
      <w:r w:rsidRPr="00F223CF">
        <w:rPr>
          <w:rFonts w:ascii="Georgia" w:hAnsi="Georgia" w:cs="Arial"/>
          <w:i/>
          <w:iCs/>
          <w:color w:val="000000"/>
        </w:rPr>
        <w:t>sellaeformis</w:t>
      </w:r>
      <w:proofErr w:type="spellEnd"/>
      <w:r w:rsidRPr="00F223CF">
        <w:rPr>
          <w:rFonts w:ascii="Georgia" w:hAnsi="Georgia" w:cs="Arial"/>
          <w:color w:val="000000"/>
        </w:rPr>
        <w:t xml:space="preserve">) of the central and western Gulf of Mexico Coastal Plain.  This phase of the </w:t>
      </w:r>
      <w:proofErr w:type="spellStart"/>
      <w:r w:rsidRPr="00F223CF">
        <w:rPr>
          <w:rFonts w:ascii="Georgia" w:hAnsi="Georgia" w:cs="Arial"/>
          <w:color w:val="000000"/>
        </w:rPr>
        <w:t>Claibornian</w:t>
      </w:r>
      <w:proofErr w:type="spellEnd"/>
      <w:r w:rsidRPr="00F223CF">
        <w:rPr>
          <w:rFonts w:ascii="Georgia" w:hAnsi="Georgia" w:cs="Arial"/>
          <w:color w:val="000000"/>
        </w:rPr>
        <w:t xml:space="preserve"> extends only as far east as the Conecuh River in central Alabama according to </w:t>
      </w:r>
      <w:proofErr w:type="gramStart"/>
      <w:r w:rsidRPr="00F223CF">
        <w:rPr>
          <w:rFonts w:ascii="Georgia" w:hAnsi="Georgia" w:cs="Arial"/>
          <w:color w:val="000000"/>
        </w:rPr>
        <w:t>Toulmin, and</w:t>
      </w:r>
      <w:proofErr w:type="gramEnd"/>
      <w:r w:rsidRPr="00F223CF">
        <w:rPr>
          <w:rFonts w:ascii="Georgia" w:hAnsi="Georgia" w:cs="Arial"/>
          <w:color w:val="000000"/>
        </w:rPr>
        <w:t xml:space="preserve"> is largely of non-marine origin in Alabama.  The </w:t>
      </w:r>
      <w:proofErr w:type="spellStart"/>
      <w:r w:rsidRPr="00F223CF">
        <w:rPr>
          <w:rFonts w:ascii="Georgia" w:hAnsi="Georgia" w:cs="Arial"/>
          <w:i/>
          <w:iCs/>
          <w:color w:val="000000"/>
        </w:rPr>
        <w:t>Cubitostrea</w:t>
      </w:r>
      <w:proofErr w:type="spellEnd"/>
      <w:r w:rsidRPr="00F223CF">
        <w:rPr>
          <w:rFonts w:ascii="Georgia" w:hAnsi="Georgia" w:cs="Arial"/>
          <w:i/>
          <w:iCs/>
          <w:color w:val="000000"/>
        </w:rPr>
        <w:t xml:space="preserve"> </w:t>
      </w:r>
      <w:proofErr w:type="spellStart"/>
      <w:r w:rsidRPr="00F223CF">
        <w:rPr>
          <w:rFonts w:ascii="Georgia" w:hAnsi="Georgia" w:cs="Arial"/>
          <w:i/>
          <w:iCs/>
          <w:color w:val="000000"/>
        </w:rPr>
        <w:t>smithvillensis</w:t>
      </w:r>
      <w:proofErr w:type="spellEnd"/>
      <w:r w:rsidRPr="00F223CF">
        <w:rPr>
          <w:rFonts w:ascii="Georgia" w:hAnsi="Georgia" w:cs="Arial"/>
          <w:color w:val="000000"/>
        </w:rPr>
        <w:t xml:space="preserve"> Zone is not known to be present in the outcrop area of the </w:t>
      </w:r>
      <w:proofErr w:type="spellStart"/>
      <w:r w:rsidRPr="00F223CF">
        <w:rPr>
          <w:rFonts w:ascii="Georgia" w:hAnsi="Georgia" w:cs="Arial"/>
          <w:color w:val="000000"/>
        </w:rPr>
        <w:t>Claibornian</w:t>
      </w:r>
      <w:proofErr w:type="spellEnd"/>
      <w:r w:rsidRPr="00F223CF">
        <w:rPr>
          <w:rFonts w:ascii="Georgia" w:hAnsi="Georgia" w:cs="Arial"/>
          <w:color w:val="000000"/>
        </w:rPr>
        <w:t xml:space="preserve"> in Georgia.</w:t>
      </w:r>
    </w:p>
    <w:p w14:paraId="2C77BE5C" w14:textId="77777777" w:rsidR="007D434A" w:rsidRPr="00F223CF" w:rsidRDefault="007D434A" w:rsidP="00194354">
      <w:pPr>
        <w:pStyle w:val="yiv4264280208msonormal"/>
        <w:shd w:val="clear" w:color="auto" w:fill="FFFFFF"/>
        <w:spacing w:before="0" w:beforeAutospacing="0" w:after="0" w:afterAutospacing="0"/>
        <w:jc w:val="both"/>
        <w:rPr>
          <w:rFonts w:ascii="Georgia" w:hAnsi="Georgia" w:cs="Arial"/>
          <w:color w:val="000000"/>
        </w:rPr>
      </w:pPr>
      <w:r w:rsidRPr="00F223CF">
        <w:rPr>
          <w:rFonts w:ascii="Georgia" w:hAnsi="Georgia" w:cs="Arial"/>
          <w:color w:val="000000"/>
        </w:rPr>
        <w:t> </w:t>
      </w:r>
    </w:p>
    <w:p w14:paraId="08CEA106" w14:textId="17B240D1" w:rsidR="007D434A" w:rsidRPr="00F223CF" w:rsidRDefault="007D434A" w:rsidP="00194354">
      <w:pPr>
        <w:pStyle w:val="yiv4264280208msonormal"/>
        <w:shd w:val="clear" w:color="auto" w:fill="FFFFFF"/>
        <w:spacing w:before="0" w:beforeAutospacing="0" w:after="0" w:afterAutospacing="0"/>
        <w:jc w:val="both"/>
        <w:rPr>
          <w:rFonts w:ascii="Georgia" w:hAnsi="Georgia" w:cs="Arial"/>
          <w:color w:val="000000"/>
        </w:rPr>
      </w:pPr>
      <w:r w:rsidRPr="00F223CF">
        <w:rPr>
          <w:rFonts w:ascii="Georgia" w:hAnsi="Georgia" w:cs="Arial"/>
          <w:color w:val="000000"/>
        </w:rPr>
        <w:t xml:space="preserve">The lower Lisbon of Alabama grades westward in eastern Mississippi into the Zilpha Clay and Winona Greensand.  This phase of the Middle </w:t>
      </w:r>
      <w:proofErr w:type="spellStart"/>
      <w:r w:rsidRPr="00F223CF">
        <w:rPr>
          <w:rFonts w:ascii="Georgia" w:hAnsi="Georgia" w:cs="Arial"/>
          <w:color w:val="000000"/>
        </w:rPr>
        <w:t>Claibornian</w:t>
      </w:r>
      <w:proofErr w:type="spellEnd"/>
      <w:r w:rsidRPr="00F223CF">
        <w:rPr>
          <w:rFonts w:ascii="Georgia" w:hAnsi="Georgia" w:cs="Arial"/>
          <w:color w:val="000000"/>
        </w:rPr>
        <w:t xml:space="preserve"> is </w:t>
      </w:r>
      <w:proofErr w:type="spellStart"/>
      <w:r w:rsidRPr="00F223CF">
        <w:rPr>
          <w:rFonts w:ascii="Georgia" w:hAnsi="Georgia" w:cs="Arial"/>
          <w:color w:val="000000"/>
        </w:rPr>
        <w:t>biostratigraphically</w:t>
      </w:r>
      <w:proofErr w:type="spellEnd"/>
      <w:r w:rsidRPr="00F223CF">
        <w:rPr>
          <w:rFonts w:ascii="Georgia" w:hAnsi="Georgia" w:cs="Arial"/>
          <w:color w:val="000000"/>
        </w:rPr>
        <w:t xml:space="preserve"> characterized by the </w:t>
      </w:r>
      <w:proofErr w:type="spellStart"/>
      <w:r w:rsidRPr="00F223CF">
        <w:rPr>
          <w:rFonts w:ascii="Georgia" w:hAnsi="Georgia" w:cs="Arial"/>
          <w:i/>
          <w:iCs/>
          <w:color w:val="000000"/>
        </w:rPr>
        <w:t>Cubitostrea</w:t>
      </w:r>
      <w:proofErr w:type="spellEnd"/>
      <w:r w:rsidR="00AF1A6D" w:rsidRPr="00F223CF">
        <w:rPr>
          <w:rFonts w:ascii="Georgia" w:hAnsi="Georgia" w:cs="Arial"/>
          <w:i/>
          <w:iCs/>
          <w:color w:val="000000"/>
        </w:rPr>
        <w:t xml:space="preserve"> </w:t>
      </w:r>
      <w:proofErr w:type="spellStart"/>
      <w:r w:rsidRPr="00F223CF">
        <w:rPr>
          <w:rFonts w:ascii="Georgia" w:hAnsi="Georgia" w:cs="Arial"/>
          <w:i/>
          <w:iCs/>
          <w:color w:val="000000"/>
        </w:rPr>
        <w:t>lisbonensis</w:t>
      </w:r>
      <w:proofErr w:type="spellEnd"/>
      <w:r w:rsidRPr="00F223CF">
        <w:rPr>
          <w:rFonts w:ascii="Georgia" w:hAnsi="Georgia" w:cs="Arial"/>
          <w:color w:val="000000"/>
        </w:rPr>
        <w:t> Zone, the ancestor of the later </w:t>
      </w:r>
      <w:proofErr w:type="spellStart"/>
      <w:r w:rsidRPr="00F223CF">
        <w:rPr>
          <w:rFonts w:ascii="Georgia" w:hAnsi="Georgia" w:cs="Arial"/>
          <w:i/>
          <w:iCs/>
          <w:color w:val="000000"/>
        </w:rPr>
        <w:t>Cubitostrea</w:t>
      </w:r>
      <w:proofErr w:type="spellEnd"/>
      <w:r w:rsidRPr="00F223CF">
        <w:rPr>
          <w:rFonts w:ascii="Georgia" w:hAnsi="Georgia" w:cs="Arial"/>
          <w:color w:val="000000"/>
        </w:rPr>
        <w:t xml:space="preserve">.  According to Toulmin, this phase of the middle </w:t>
      </w:r>
      <w:proofErr w:type="spellStart"/>
      <w:r w:rsidRPr="00F223CF">
        <w:rPr>
          <w:rFonts w:ascii="Georgia" w:hAnsi="Georgia" w:cs="Arial"/>
          <w:color w:val="000000"/>
        </w:rPr>
        <w:t>Claibornian</w:t>
      </w:r>
      <w:proofErr w:type="spellEnd"/>
      <w:r w:rsidRPr="00F223CF">
        <w:rPr>
          <w:rFonts w:ascii="Georgia" w:hAnsi="Georgia" w:cs="Arial"/>
          <w:color w:val="000000"/>
        </w:rPr>
        <w:t xml:space="preserve"> is not present on the Chattahoochee River.  However, the lower Lisbon (Middle </w:t>
      </w:r>
      <w:proofErr w:type="spellStart"/>
      <w:r w:rsidRPr="00F223CF">
        <w:rPr>
          <w:rFonts w:ascii="Georgia" w:hAnsi="Georgia" w:cs="Arial"/>
          <w:color w:val="000000"/>
        </w:rPr>
        <w:t>Claibornian</w:t>
      </w:r>
      <w:proofErr w:type="spellEnd"/>
      <w:r w:rsidRPr="00F223CF">
        <w:rPr>
          <w:rFonts w:ascii="Georgia" w:hAnsi="Georgia" w:cs="Arial"/>
          <w:color w:val="000000"/>
        </w:rPr>
        <w:t>) in Georgia is the Still Branch Sand.  The typical Still Branch has not yet been recognized in </w:t>
      </w:r>
      <w:r w:rsidRPr="00F223CF">
        <w:rPr>
          <w:rFonts w:ascii="Georgia" w:hAnsi="Georgia" w:cs="Arial"/>
          <w:color w:val="000000"/>
          <w:u w:val="single"/>
        </w:rPr>
        <w:t>outcrop</w:t>
      </w:r>
      <w:r w:rsidRPr="00F223CF">
        <w:rPr>
          <w:rFonts w:ascii="Georgia" w:hAnsi="Georgia" w:cs="Arial"/>
          <w:color w:val="000000"/>
        </w:rPr>
        <w:t xml:space="preserve"> in the Savannah River area but its </w:t>
      </w:r>
      <w:proofErr w:type="spellStart"/>
      <w:r w:rsidRPr="00F223CF">
        <w:rPr>
          <w:rFonts w:ascii="Georgia" w:hAnsi="Georgia" w:cs="Arial"/>
          <w:color w:val="000000"/>
        </w:rPr>
        <w:t>updip</w:t>
      </w:r>
      <w:proofErr w:type="spellEnd"/>
      <w:r w:rsidRPr="00F223CF">
        <w:rPr>
          <w:rFonts w:ascii="Georgia" w:hAnsi="Georgia" w:cs="Arial"/>
          <w:color w:val="000000"/>
        </w:rPr>
        <w:t xml:space="preserve"> member, the </w:t>
      </w:r>
      <w:proofErr w:type="spellStart"/>
      <w:r w:rsidRPr="00F223CF">
        <w:rPr>
          <w:rFonts w:ascii="Georgia" w:hAnsi="Georgia" w:cs="Arial"/>
          <w:color w:val="000000"/>
        </w:rPr>
        <w:t>Bennock</w:t>
      </w:r>
      <w:proofErr w:type="spellEnd"/>
      <w:r w:rsidRPr="00F223CF">
        <w:rPr>
          <w:rFonts w:ascii="Georgia" w:hAnsi="Georgia" w:cs="Arial"/>
          <w:color w:val="000000"/>
        </w:rPr>
        <w:t xml:space="preserve"> Millpond Member, is present in outcrop at the junction of </w:t>
      </w:r>
      <w:proofErr w:type="spellStart"/>
      <w:r w:rsidRPr="00F223CF">
        <w:rPr>
          <w:rFonts w:ascii="Georgia" w:hAnsi="Georgia" w:cs="Arial"/>
          <w:color w:val="000000"/>
        </w:rPr>
        <w:t>McBean</w:t>
      </w:r>
      <w:proofErr w:type="spellEnd"/>
      <w:r w:rsidRPr="00F223CF">
        <w:rPr>
          <w:rFonts w:ascii="Georgia" w:hAnsi="Georgia" w:cs="Arial"/>
          <w:color w:val="000000"/>
        </w:rPr>
        <w:t xml:space="preserve"> Creek floodplain and the Savannah River </w:t>
      </w:r>
      <w:proofErr w:type="gramStart"/>
      <w:r w:rsidRPr="00F223CF">
        <w:rPr>
          <w:rFonts w:ascii="Georgia" w:hAnsi="Georgia" w:cs="Arial"/>
          <w:color w:val="000000"/>
        </w:rPr>
        <w:t>floodplain, and</w:t>
      </w:r>
      <w:proofErr w:type="gramEnd"/>
      <w:r w:rsidRPr="00F223CF">
        <w:rPr>
          <w:rFonts w:ascii="Georgia" w:hAnsi="Georgia" w:cs="Arial"/>
          <w:color w:val="000000"/>
        </w:rPr>
        <w:t xml:space="preserve"> is the source of the “</w:t>
      </w:r>
      <w:proofErr w:type="spellStart"/>
      <w:r w:rsidRPr="00F223CF">
        <w:rPr>
          <w:rFonts w:ascii="Georgia" w:hAnsi="Georgia" w:cs="Arial"/>
          <w:color w:val="000000"/>
        </w:rPr>
        <w:t>McBean</w:t>
      </w:r>
      <w:proofErr w:type="spellEnd"/>
      <w:r w:rsidRPr="00F223CF">
        <w:rPr>
          <w:rFonts w:ascii="Georgia" w:hAnsi="Georgia" w:cs="Arial"/>
          <w:color w:val="000000"/>
        </w:rPr>
        <w:t xml:space="preserve">” fossils described in the early </w:t>
      </w:r>
      <w:r w:rsidRPr="00F223CF">
        <w:rPr>
          <w:rFonts w:ascii="Georgia" w:hAnsi="Georgia" w:cs="Arial"/>
          <w:color w:val="000000"/>
        </w:rPr>
        <w:lastRenderedPageBreak/>
        <w:t xml:space="preserve">literature.  The Still Branch Sand is recognized in the shallow subsurface across Georgia to the Flint River area and is a dominantly calcareous, thick bedded, fine to coarse grained, </w:t>
      </w:r>
      <w:proofErr w:type="gramStart"/>
      <w:r w:rsidRPr="00F223CF">
        <w:rPr>
          <w:rFonts w:ascii="Georgia" w:hAnsi="Georgia" w:cs="Arial"/>
          <w:color w:val="000000"/>
        </w:rPr>
        <w:t>massive bedded</w:t>
      </w:r>
      <w:proofErr w:type="gramEnd"/>
      <w:r w:rsidRPr="00F223CF">
        <w:rPr>
          <w:rFonts w:ascii="Georgia" w:hAnsi="Georgia" w:cs="Arial"/>
          <w:color w:val="000000"/>
        </w:rPr>
        <w:t xml:space="preserve"> sand. </w:t>
      </w:r>
    </w:p>
    <w:p w14:paraId="7A040F3C" w14:textId="77777777" w:rsidR="007D434A" w:rsidRPr="00F223CF" w:rsidRDefault="007D434A" w:rsidP="00194354">
      <w:pPr>
        <w:pStyle w:val="yiv4264280208msonormal"/>
        <w:shd w:val="clear" w:color="auto" w:fill="FFFFFF"/>
        <w:spacing w:before="0" w:beforeAutospacing="0" w:after="0" w:afterAutospacing="0"/>
        <w:jc w:val="both"/>
        <w:rPr>
          <w:rFonts w:ascii="Georgia" w:hAnsi="Georgia" w:cs="Arial"/>
          <w:color w:val="000000"/>
        </w:rPr>
      </w:pPr>
      <w:r w:rsidRPr="00F223CF">
        <w:rPr>
          <w:rFonts w:ascii="Georgia" w:hAnsi="Georgia" w:cs="Arial"/>
          <w:b/>
          <w:bCs/>
          <w:color w:val="FF0000"/>
        </w:rPr>
        <w:t> </w:t>
      </w:r>
    </w:p>
    <w:p w14:paraId="08C96983" w14:textId="77777777" w:rsidR="007D434A" w:rsidRPr="00F223CF" w:rsidRDefault="007D434A" w:rsidP="00194354">
      <w:pPr>
        <w:pStyle w:val="yiv4264280208msonormal"/>
        <w:shd w:val="clear" w:color="auto" w:fill="FFFFFF"/>
        <w:spacing w:before="0" w:beforeAutospacing="0" w:after="0" w:afterAutospacing="0"/>
        <w:jc w:val="both"/>
        <w:rPr>
          <w:rFonts w:ascii="Georgia" w:hAnsi="Georgia" w:cs="Arial"/>
          <w:color w:val="000000"/>
        </w:rPr>
      </w:pPr>
      <w:r w:rsidRPr="00F223CF">
        <w:rPr>
          <w:rFonts w:ascii="Georgia" w:hAnsi="Georgia" w:cs="Arial"/>
          <w:color w:val="000000"/>
        </w:rPr>
        <w:t xml:space="preserve">The pre-Lisbon, lower </w:t>
      </w:r>
      <w:proofErr w:type="spellStart"/>
      <w:r w:rsidRPr="00F223CF">
        <w:rPr>
          <w:rFonts w:ascii="Georgia" w:hAnsi="Georgia" w:cs="Arial"/>
          <w:color w:val="000000"/>
        </w:rPr>
        <w:t>Claibornian</w:t>
      </w:r>
      <w:proofErr w:type="spellEnd"/>
      <w:r w:rsidRPr="00F223CF">
        <w:rPr>
          <w:rFonts w:ascii="Georgia" w:hAnsi="Georgia" w:cs="Arial"/>
          <w:color w:val="000000"/>
        </w:rPr>
        <w:t xml:space="preserve"> of western Alabama is the </w:t>
      </w:r>
      <w:proofErr w:type="spellStart"/>
      <w:r w:rsidRPr="00F223CF">
        <w:rPr>
          <w:rFonts w:ascii="Georgia" w:hAnsi="Georgia" w:cs="Arial"/>
          <w:color w:val="000000"/>
        </w:rPr>
        <w:t>Tallahatta</w:t>
      </w:r>
      <w:proofErr w:type="spellEnd"/>
      <w:r w:rsidRPr="00F223CF">
        <w:rPr>
          <w:rFonts w:ascii="Georgia" w:hAnsi="Georgia" w:cs="Arial"/>
          <w:color w:val="000000"/>
        </w:rPr>
        <w:t xml:space="preserve"> (siliceous buhrstone) </w:t>
      </w:r>
      <w:proofErr w:type="gramStart"/>
      <w:r w:rsidRPr="00F223CF">
        <w:rPr>
          <w:rFonts w:ascii="Georgia" w:hAnsi="Georgia" w:cs="Arial"/>
          <w:color w:val="000000"/>
        </w:rPr>
        <w:t>Formation</w:t>
      </w:r>
      <w:proofErr w:type="gramEnd"/>
      <w:r w:rsidRPr="00F223CF">
        <w:rPr>
          <w:rFonts w:ascii="Georgia" w:hAnsi="Georgia" w:cs="Arial"/>
          <w:color w:val="000000"/>
        </w:rPr>
        <w:t xml:space="preserve"> which is not present, </w:t>
      </w:r>
      <w:proofErr w:type="spellStart"/>
      <w:r w:rsidRPr="00F223CF">
        <w:rPr>
          <w:rFonts w:ascii="Georgia" w:hAnsi="Georgia" w:cs="Arial"/>
          <w:color w:val="000000"/>
        </w:rPr>
        <w:t>lithostratigraphically</w:t>
      </w:r>
      <w:proofErr w:type="spellEnd"/>
      <w:r w:rsidRPr="00F223CF">
        <w:rPr>
          <w:rFonts w:ascii="Georgia" w:hAnsi="Georgia" w:cs="Arial"/>
          <w:color w:val="000000"/>
        </w:rPr>
        <w:t xml:space="preserve">, in Georgia or in eastern Alabama.  The lithology of the formation is its place is the Congaree Formation of South Carolina.  In many places, in outcrops and cores, the Georgia Congaree is indistinguishable from the </w:t>
      </w:r>
      <w:proofErr w:type="gramStart"/>
      <w:r w:rsidRPr="00F223CF">
        <w:rPr>
          <w:rFonts w:ascii="Georgia" w:hAnsi="Georgia" w:cs="Arial"/>
          <w:color w:val="000000"/>
        </w:rPr>
        <w:t>type</w:t>
      </w:r>
      <w:proofErr w:type="gramEnd"/>
      <w:r w:rsidRPr="00F223CF">
        <w:rPr>
          <w:rFonts w:ascii="Georgia" w:hAnsi="Georgia" w:cs="Arial"/>
          <w:color w:val="000000"/>
        </w:rPr>
        <w:t xml:space="preserve"> Congaree of South Carolina.  Downdip and relatively offshore, the Congaree grades into a massive bedded, fine to coarse grained sand (</w:t>
      </w:r>
      <w:proofErr w:type="gramStart"/>
      <w:r w:rsidRPr="00F223CF">
        <w:rPr>
          <w:rFonts w:ascii="Georgia" w:hAnsi="Georgia" w:cs="Arial"/>
          <w:color w:val="000000"/>
        </w:rPr>
        <w:t>similar to</w:t>
      </w:r>
      <w:proofErr w:type="gramEnd"/>
      <w:r w:rsidRPr="00F223CF">
        <w:rPr>
          <w:rFonts w:ascii="Georgia" w:hAnsi="Georgia" w:cs="Arial"/>
          <w:color w:val="000000"/>
        </w:rPr>
        <w:t xml:space="preserve"> the Still Branch) that is mappable in the subsurface but is not known to crop out.  It is possible that the sand does exist in the outcrop area of the lower </w:t>
      </w:r>
      <w:proofErr w:type="spellStart"/>
      <w:r w:rsidRPr="00F223CF">
        <w:rPr>
          <w:rFonts w:ascii="Georgia" w:hAnsi="Georgia" w:cs="Arial"/>
          <w:color w:val="000000"/>
        </w:rPr>
        <w:t>Claibornian</w:t>
      </w:r>
      <w:proofErr w:type="spellEnd"/>
      <w:r w:rsidRPr="00F223CF">
        <w:rPr>
          <w:rFonts w:ascii="Georgia" w:hAnsi="Georgia" w:cs="Arial"/>
          <w:color w:val="000000"/>
        </w:rPr>
        <w:t xml:space="preserve"> in Georgia but due to its prevalence of well washed and well sorted, incoherent, medium to coarse grained sand that is only slightly argillaceous and lacking sufficient binding matrix to hold the quartz sands together, the loose sand results in little to no core recovery.</w:t>
      </w:r>
    </w:p>
    <w:p w14:paraId="31E16BAE" w14:textId="77777777" w:rsidR="007D434A" w:rsidRPr="00F223CF" w:rsidRDefault="007D434A" w:rsidP="00194354">
      <w:pPr>
        <w:pStyle w:val="yiv4264280208msonormal"/>
        <w:shd w:val="clear" w:color="auto" w:fill="FFFFFF"/>
        <w:spacing w:before="0" w:beforeAutospacing="0" w:after="0" w:afterAutospacing="0"/>
        <w:jc w:val="both"/>
        <w:rPr>
          <w:rFonts w:ascii="Georgia" w:hAnsi="Georgia" w:cs="Arial"/>
          <w:color w:val="000000"/>
        </w:rPr>
      </w:pPr>
      <w:r w:rsidRPr="00F223CF">
        <w:rPr>
          <w:rFonts w:ascii="Georgia" w:hAnsi="Georgia" w:cs="Arial"/>
          <w:color w:val="000000"/>
        </w:rPr>
        <w:t> </w:t>
      </w:r>
    </w:p>
    <w:p w14:paraId="2FECC8AE" w14:textId="4C2D7B8C" w:rsidR="007D434A" w:rsidRPr="00F223CF" w:rsidRDefault="007D434A" w:rsidP="00194354">
      <w:pPr>
        <w:pStyle w:val="yiv4264280208msonormal"/>
        <w:shd w:val="clear" w:color="auto" w:fill="FFFFFF"/>
        <w:spacing w:before="0" w:beforeAutospacing="0" w:after="0" w:afterAutospacing="0"/>
        <w:jc w:val="both"/>
        <w:rPr>
          <w:rFonts w:ascii="Georgia" w:hAnsi="Georgia" w:cs="Arial"/>
          <w:color w:val="000000"/>
        </w:rPr>
      </w:pPr>
      <w:r w:rsidRPr="00F223CF">
        <w:rPr>
          <w:rFonts w:ascii="Georgia" w:hAnsi="Georgia" w:cs="Arial"/>
          <w:color w:val="000000"/>
        </w:rPr>
        <w:t>The USGS people have subdivided the Congaree (“</w:t>
      </w:r>
      <w:proofErr w:type="spellStart"/>
      <w:r w:rsidRPr="00F223CF">
        <w:rPr>
          <w:rFonts w:ascii="Georgia" w:hAnsi="Georgia" w:cs="Arial"/>
          <w:color w:val="000000"/>
        </w:rPr>
        <w:t>Tallahatta</w:t>
      </w:r>
      <w:proofErr w:type="spellEnd"/>
      <w:r w:rsidRPr="00F223CF">
        <w:rPr>
          <w:rFonts w:ascii="Georgia" w:hAnsi="Georgia" w:cs="Arial"/>
          <w:color w:val="000000"/>
        </w:rPr>
        <w:t>”) into bio</w:t>
      </w:r>
      <w:r w:rsidR="00F11DD2" w:rsidRPr="00F223CF">
        <w:rPr>
          <w:rFonts w:ascii="Georgia" w:hAnsi="Georgia" w:cs="Arial"/>
          <w:color w:val="000000"/>
        </w:rPr>
        <w:t>-</w:t>
      </w:r>
      <w:r w:rsidRPr="00F223CF">
        <w:rPr>
          <w:rFonts w:ascii="Georgia" w:hAnsi="Georgia" w:cs="Arial"/>
          <w:color w:val="000000"/>
        </w:rPr>
        <w:t>stratigraphically upper and lower parts, the lower part being Eocene in age.  Such a subdivision is not apparent litho</w:t>
      </w:r>
      <w:r w:rsidR="00F11DD2" w:rsidRPr="00F223CF">
        <w:rPr>
          <w:rFonts w:ascii="Georgia" w:hAnsi="Georgia" w:cs="Arial"/>
          <w:color w:val="000000"/>
        </w:rPr>
        <w:t>-</w:t>
      </w:r>
      <w:r w:rsidRPr="00F223CF">
        <w:rPr>
          <w:rFonts w:ascii="Georgia" w:hAnsi="Georgia" w:cs="Arial"/>
          <w:color w:val="000000"/>
        </w:rPr>
        <w:t>stratigraphically in Georgia and cannot be confirmed in this report.  Herrick (1961) considered the top of the glauconitic, greensands to be “</w:t>
      </w:r>
      <w:proofErr w:type="spellStart"/>
      <w:r w:rsidRPr="00F223CF">
        <w:rPr>
          <w:rFonts w:ascii="Georgia" w:hAnsi="Georgia" w:cs="Arial"/>
          <w:color w:val="000000"/>
        </w:rPr>
        <w:t>Tallahatta</w:t>
      </w:r>
      <w:proofErr w:type="spellEnd"/>
      <w:r w:rsidRPr="00F223CF">
        <w:rPr>
          <w:rFonts w:ascii="Georgia" w:hAnsi="Georgia" w:cs="Arial"/>
          <w:color w:val="000000"/>
        </w:rPr>
        <w:t xml:space="preserve">” Formation in the subsurface of Georgia, based on well cuttings.  In cores, the first occurrence of the greensands </w:t>
      </w:r>
      <w:proofErr w:type="gramStart"/>
      <w:r w:rsidRPr="00F223CF">
        <w:rPr>
          <w:rFonts w:ascii="Georgia" w:hAnsi="Georgia" w:cs="Arial"/>
          <w:color w:val="000000"/>
        </w:rPr>
        <w:t>appear</w:t>
      </w:r>
      <w:proofErr w:type="gramEnd"/>
      <w:r w:rsidRPr="00F223CF">
        <w:rPr>
          <w:rFonts w:ascii="Georgia" w:hAnsi="Georgia" w:cs="Arial"/>
          <w:color w:val="000000"/>
        </w:rPr>
        <w:t xml:space="preserve">, at this time, to be unevenly distributed from the lower </w:t>
      </w:r>
      <w:proofErr w:type="spellStart"/>
      <w:r w:rsidRPr="00F223CF">
        <w:rPr>
          <w:rFonts w:ascii="Georgia" w:hAnsi="Georgia" w:cs="Arial"/>
          <w:color w:val="000000"/>
        </w:rPr>
        <w:t>Claibornian</w:t>
      </w:r>
      <w:proofErr w:type="spellEnd"/>
      <w:r w:rsidRPr="00F223CF">
        <w:rPr>
          <w:rFonts w:ascii="Georgia" w:hAnsi="Georgia" w:cs="Arial"/>
          <w:color w:val="000000"/>
        </w:rPr>
        <w:t xml:space="preserve"> downward to the </w:t>
      </w:r>
      <w:proofErr w:type="spellStart"/>
      <w:r w:rsidRPr="00F223CF">
        <w:rPr>
          <w:rFonts w:ascii="Georgia" w:hAnsi="Georgia" w:cs="Arial"/>
          <w:color w:val="000000"/>
        </w:rPr>
        <w:t>Hatchetigbee</w:t>
      </w:r>
      <w:proofErr w:type="spellEnd"/>
      <w:r w:rsidRPr="00F223CF">
        <w:rPr>
          <w:rFonts w:ascii="Georgia" w:hAnsi="Georgia" w:cs="Arial"/>
          <w:color w:val="000000"/>
        </w:rPr>
        <w:t>/</w:t>
      </w:r>
      <w:proofErr w:type="spellStart"/>
      <w:r w:rsidRPr="00F223CF">
        <w:rPr>
          <w:rFonts w:ascii="Georgia" w:hAnsi="Georgia" w:cs="Arial"/>
          <w:color w:val="000000"/>
        </w:rPr>
        <w:t>Bashi</w:t>
      </w:r>
      <w:proofErr w:type="spellEnd"/>
      <w:r w:rsidRPr="00F223CF">
        <w:rPr>
          <w:rFonts w:ascii="Georgia" w:hAnsi="Georgia" w:cs="Arial"/>
          <w:color w:val="000000"/>
        </w:rPr>
        <w:t xml:space="preserve">, </w:t>
      </w:r>
      <w:proofErr w:type="spellStart"/>
      <w:r w:rsidRPr="00F223CF">
        <w:rPr>
          <w:rFonts w:ascii="Georgia" w:hAnsi="Georgia" w:cs="Arial"/>
          <w:color w:val="000000"/>
        </w:rPr>
        <w:t>Sabinian</w:t>
      </w:r>
      <w:proofErr w:type="spellEnd"/>
      <w:r w:rsidRPr="00F223CF">
        <w:rPr>
          <w:rFonts w:ascii="Georgia" w:hAnsi="Georgia" w:cs="Arial"/>
          <w:color w:val="000000"/>
        </w:rPr>
        <w:t>, Lower Eocene. To date, the top, age/ages, or </w:t>
      </w:r>
      <w:r w:rsidRPr="00F223CF">
        <w:rPr>
          <w:rFonts w:ascii="Georgia" w:hAnsi="Georgia" w:cs="Arial"/>
          <w:i/>
          <w:iCs/>
          <w:color w:val="000000"/>
        </w:rPr>
        <w:t>real </w:t>
      </w:r>
      <w:r w:rsidRPr="00F223CF">
        <w:rPr>
          <w:rFonts w:ascii="Georgia" w:hAnsi="Georgia" w:cs="Arial"/>
          <w:color w:val="000000"/>
        </w:rPr>
        <w:t xml:space="preserve">stratigraphic positions of the greensands in the subsurface of Georgia have not been resolved.  However, based on the current information, </w:t>
      </w:r>
      <w:proofErr w:type="gramStart"/>
      <w:r w:rsidRPr="00F223CF">
        <w:rPr>
          <w:rFonts w:ascii="Georgia" w:hAnsi="Georgia" w:cs="Arial"/>
          <w:color w:val="000000"/>
        </w:rPr>
        <w:t>it would appear that the</w:t>
      </w:r>
      <w:proofErr w:type="gramEnd"/>
      <w:r w:rsidRPr="00F223CF">
        <w:rPr>
          <w:rFonts w:ascii="Georgia" w:hAnsi="Georgia" w:cs="Arial"/>
          <w:color w:val="000000"/>
        </w:rPr>
        <w:t xml:space="preserve"> </w:t>
      </w:r>
      <w:proofErr w:type="spellStart"/>
      <w:r w:rsidRPr="00F223CF">
        <w:rPr>
          <w:rFonts w:ascii="Georgia" w:hAnsi="Georgia" w:cs="Arial"/>
          <w:color w:val="000000"/>
        </w:rPr>
        <w:t>Hatchetigbee</w:t>
      </w:r>
      <w:proofErr w:type="spellEnd"/>
      <w:r w:rsidRPr="00F223CF">
        <w:rPr>
          <w:rFonts w:ascii="Georgia" w:hAnsi="Georgia" w:cs="Arial"/>
          <w:color w:val="000000"/>
        </w:rPr>
        <w:t>/</w:t>
      </w:r>
      <w:proofErr w:type="spellStart"/>
      <w:r w:rsidRPr="00F223CF">
        <w:rPr>
          <w:rFonts w:ascii="Georgia" w:hAnsi="Georgia" w:cs="Arial"/>
          <w:color w:val="000000"/>
        </w:rPr>
        <w:t>Bashi</w:t>
      </w:r>
      <w:proofErr w:type="spellEnd"/>
      <w:r w:rsidRPr="00F223CF">
        <w:rPr>
          <w:rFonts w:ascii="Georgia" w:hAnsi="Georgia" w:cs="Arial"/>
          <w:color w:val="000000"/>
        </w:rPr>
        <w:t xml:space="preserve"> interval is the most consistently glauconitic interval in the Georgia subsurface</w:t>
      </w:r>
      <w:r w:rsidRPr="00F223CF">
        <w:rPr>
          <w:rFonts w:ascii="Georgia" w:hAnsi="Georgia" w:cs="Arial"/>
          <w:color w:val="0070C0"/>
        </w:rPr>
        <w:t>. </w:t>
      </w:r>
    </w:p>
    <w:p w14:paraId="29DB8637" w14:textId="77777777" w:rsidR="007D434A" w:rsidRPr="00F223CF" w:rsidRDefault="007D434A" w:rsidP="00194354">
      <w:pPr>
        <w:pStyle w:val="yiv4264280208msonormal"/>
        <w:shd w:val="clear" w:color="auto" w:fill="FFFFFF"/>
        <w:spacing w:before="0" w:beforeAutospacing="0" w:after="0" w:afterAutospacing="0"/>
        <w:jc w:val="both"/>
        <w:rPr>
          <w:rFonts w:ascii="Georgia" w:hAnsi="Georgia" w:cs="Arial"/>
          <w:color w:val="000000"/>
        </w:rPr>
      </w:pPr>
      <w:r w:rsidRPr="00F223CF">
        <w:rPr>
          <w:rFonts w:ascii="Georgia" w:hAnsi="Georgia" w:cs="Arial"/>
          <w:color w:val="0070C0"/>
        </w:rPr>
        <w:t> </w:t>
      </w:r>
    </w:p>
    <w:p w14:paraId="65B8BF00" w14:textId="77777777" w:rsidR="007D434A" w:rsidRPr="00F223CF" w:rsidRDefault="007D434A" w:rsidP="00194354">
      <w:pPr>
        <w:pStyle w:val="yiv4264280208msonormal"/>
        <w:shd w:val="clear" w:color="auto" w:fill="FFFFFF"/>
        <w:spacing w:before="0" w:beforeAutospacing="0" w:after="0" w:afterAutospacing="0"/>
        <w:jc w:val="both"/>
        <w:rPr>
          <w:rFonts w:ascii="Georgia" w:hAnsi="Georgia" w:cs="Arial"/>
          <w:color w:val="000000"/>
        </w:rPr>
      </w:pPr>
      <w:r w:rsidRPr="00F223CF">
        <w:rPr>
          <w:rFonts w:ascii="Georgia" w:hAnsi="Georgia" w:cs="Arial"/>
          <w:color w:val="000000"/>
        </w:rPr>
        <w:t xml:space="preserve">It appears at this time, that all of the marine </w:t>
      </w:r>
      <w:proofErr w:type="spellStart"/>
      <w:r w:rsidRPr="00F223CF">
        <w:rPr>
          <w:rFonts w:ascii="Georgia" w:hAnsi="Georgia" w:cs="Arial"/>
          <w:color w:val="000000"/>
        </w:rPr>
        <w:t>Claibornian</w:t>
      </w:r>
      <w:proofErr w:type="spellEnd"/>
      <w:r w:rsidRPr="00F223CF">
        <w:rPr>
          <w:rFonts w:ascii="Georgia" w:hAnsi="Georgia" w:cs="Arial"/>
          <w:color w:val="000000"/>
        </w:rPr>
        <w:t xml:space="preserve"> stratigraphic units in Georgia grade </w:t>
      </w:r>
      <w:proofErr w:type="spellStart"/>
      <w:r w:rsidRPr="00F223CF">
        <w:rPr>
          <w:rFonts w:ascii="Georgia" w:hAnsi="Georgia" w:cs="Arial"/>
          <w:color w:val="000000"/>
        </w:rPr>
        <w:t>updip</w:t>
      </w:r>
      <w:proofErr w:type="spellEnd"/>
      <w:r w:rsidRPr="00F223CF">
        <w:rPr>
          <w:rFonts w:ascii="Georgia" w:hAnsi="Georgia" w:cs="Arial"/>
          <w:color w:val="000000"/>
        </w:rPr>
        <w:t xml:space="preserve"> into nonmarine, </w:t>
      </w:r>
      <w:proofErr w:type="gramStart"/>
      <w:r w:rsidRPr="00F223CF">
        <w:rPr>
          <w:rFonts w:ascii="Georgia" w:hAnsi="Georgia" w:cs="Arial"/>
          <w:color w:val="000000"/>
        </w:rPr>
        <w:t>mostly  “</w:t>
      </w:r>
      <w:proofErr w:type="gramEnd"/>
      <w:r w:rsidRPr="00F223CF">
        <w:rPr>
          <w:rFonts w:ascii="Georgia" w:hAnsi="Georgia" w:cs="Arial"/>
          <w:color w:val="000000"/>
        </w:rPr>
        <w:t>hard” </w:t>
      </w:r>
      <w:proofErr w:type="spellStart"/>
      <w:r w:rsidRPr="00F223CF">
        <w:rPr>
          <w:rFonts w:ascii="Georgia" w:hAnsi="Georgia" w:cs="Arial"/>
          <w:color w:val="000000"/>
        </w:rPr>
        <w:t>kaolins</w:t>
      </w:r>
      <w:proofErr w:type="spellEnd"/>
      <w:r w:rsidRPr="00F223CF">
        <w:rPr>
          <w:rFonts w:ascii="Georgia" w:hAnsi="Georgia" w:cs="Arial"/>
          <w:color w:val="000000"/>
        </w:rPr>
        <w:t xml:space="preserve"> and sands of the Huber Formation.  The specific correlations within the Huber Formation with the various marine </w:t>
      </w:r>
      <w:proofErr w:type="spellStart"/>
      <w:r w:rsidRPr="00F223CF">
        <w:rPr>
          <w:rFonts w:ascii="Georgia" w:hAnsi="Georgia" w:cs="Arial"/>
          <w:color w:val="000000"/>
        </w:rPr>
        <w:t>Claibornian</w:t>
      </w:r>
      <w:proofErr w:type="spellEnd"/>
      <w:r w:rsidRPr="00F223CF">
        <w:rPr>
          <w:rFonts w:ascii="Georgia" w:hAnsi="Georgia" w:cs="Arial"/>
          <w:color w:val="000000"/>
        </w:rPr>
        <w:t xml:space="preserve"> lithostratigraphic intervals have not yet been thoroughly documented.  The “hard” </w:t>
      </w:r>
      <w:proofErr w:type="spellStart"/>
      <w:r w:rsidRPr="00F223CF">
        <w:rPr>
          <w:rFonts w:ascii="Georgia" w:hAnsi="Georgia" w:cs="Arial"/>
          <w:color w:val="000000"/>
        </w:rPr>
        <w:t>kaolins</w:t>
      </w:r>
      <w:proofErr w:type="spellEnd"/>
      <w:r w:rsidRPr="00F223CF">
        <w:rPr>
          <w:rFonts w:ascii="Georgia" w:hAnsi="Georgia" w:cs="Arial"/>
          <w:color w:val="000000"/>
        </w:rPr>
        <w:t xml:space="preserve"> of the Huber appears to be generally </w:t>
      </w:r>
      <w:proofErr w:type="gramStart"/>
      <w:r w:rsidRPr="00F223CF">
        <w:rPr>
          <w:rFonts w:ascii="Georgia" w:hAnsi="Georgia" w:cs="Arial"/>
          <w:color w:val="000000"/>
        </w:rPr>
        <w:t>similar to</w:t>
      </w:r>
      <w:proofErr w:type="gramEnd"/>
      <w:r w:rsidRPr="00F223CF">
        <w:rPr>
          <w:rFonts w:ascii="Georgia" w:hAnsi="Georgia" w:cs="Arial"/>
          <w:color w:val="000000"/>
        </w:rPr>
        <w:t xml:space="preserve"> that of the </w:t>
      </w:r>
      <w:proofErr w:type="spellStart"/>
      <w:r w:rsidRPr="00F223CF">
        <w:rPr>
          <w:rFonts w:ascii="Georgia" w:hAnsi="Georgia" w:cs="Arial"/>
          <w:color w:val="000000"/>
        </w:rPr>
        <w:t>kaolins</w:t>
      </w:r>
      <w:proofErr w:type="spellEnd"/>
      <w:r w:rsidRPr="00F223CF">
        <w:rPr>
          <w:rFonts w:ascii="Georgia" w:hAnsi="Georgia" w:cs="Arial"/>
          <w:color w:val="000000"/>
        </w:rPr>
        <w:t xml:space="preserve"> of the older, </w:t>
      </w:r>
      <w:proofErr w:type="spellStart"/>
      <w:r w:rsidRPr="00F223CF">
        <w:rPr>
          <w:rFonts w:ascii="Georgia" w:hAnsi="Georgia" w:cs="Arial"/>
          <w:color w:val="000000"/>
        </w:rPr>
        <w:t>Nanafalia</w:t>
      </w:r>
      <w:proofErr w:type="spellEnd"/>
      <w:r w:rsidRPr="00F223CF">
        <w:rPr>
          <w:rFonts w:ascii="Georgia" w:hAnsi="Georgia" w:cs="Arial"/>
          <w:color w:val="000000"/>
        </w:rPr>
        <w:t xml:space="preserve">-equivalent, Baker Hill Formation.  However, the Baker Hill </w:t>
      </w:r>
      <w:proofErr w:type="spellStart"/>
      <w:r w:rsidRPr="00F223CF">
        <w:rPr>
          <w:rFonts w:ascii="Georgia" w:hAnsi="Georgia" w:cs="Arial"/>
          <w:color w:val="000000"/>
        </w:rPr>
        <w:t>kaolins</w:t>
      </w:r>
      <w:proofErr w:type="spellEnd"/>
      <w:r w:rsidRPr="00F223CF">
        <w:rPr>
          <w:rFonts w:ascii="Georgia" w:hAnsi="Georgia" w:cs="Arial"/>
          <w:color w:val="000000"/>
        </w:rPr>
        <w:t xml:space="preserve"> appear to be somewhat more </w:t>
      </w:r>
      <w:proofErr w:type="spellStart"/>
      <w:r w:rsidRPr="00F223CF">
        <w:rPr>
          <w:rFonts w:ascii="Georgia" w:hAnsi="Georgia" w:cs="Arial"/>
          <w:color w:val="000000"/>
        </w:rPr>
        <w:t>lithically</w:t>
      </w:r>
      <w:proofErr w:type="spellEnd"/>
      <w:r w:rsidRPr="00F223CF">
        <w:rPr>
          <w:rFonts w:ascii="Georgia" w:hAnsi="Georgia" w:cs="Arial"/>
          <w:color w:val="000000"/>
        </w:rPr>
        <w:t xml:space="preserve"> variable than that of the Huber </w:t>
      </w:r>
      <w:proofErr w:type="spellStart"/>
      <w:r w:rsidRPr="00F223CF">
        <w:rPr>
          <w:rFonts w:ascii="Georgia" w:hAnsi="Georgia" w:cs="Arial"/>
          <w:color w:val="000000"/>
        </w:rPr>
        <w:t>kaolins</w:t>
      </w:r>
      <w:proofErr w:type="spellEnd"/>
      <w:r w:rsidRPr="00F223CF">
        <w:rPr>
          <w:rFonts w:ascii="Georgia" w:hAnsi="Georgia" w:cs="Arial"/>
          <w:color w:val="000000"/>
        </w:rPr>
        <w:t>.</w:t>
      </w:r>
    </w:p>
    <w:p w14:paraId="7B8446BA" w14:textId="77777777" w:rsidR="007D434A" w:rsidRPr="00F223CF" w:rsidRDefault="007D434A" w:rsidP="00194354">
      <w:pPr>
        <w:pStyle w:val="yiv4264280208msonormal"/>
        <w:shd w:val="clear" w:color="auto" w:fill="FFFFFF"/>
        <w:spacing w:before="0" w:beforeAutospacing="0" w:after="0" w:afterAutospacing="0"/>
        <w:jc w:val="both"/>
        <w:rPr>
          <w:rFonts w:ascii="Georgia" w:hAnsi="Georgia" w:cs="Arial"/>
          <w:color w:val="000000"/>
        </w:rPr>
      </w:pPr>
      <w:r w:rsidRPr="00F223CF">
        <w:rPr>
          <w:rFonts w:ascii="Georgia" w:hAnsi="Georgia" w:cs="Arial"/>
          <w:color w:val="000000"/>
        </w:rPr>
        <w:t> </w:t>
      </w:r>
    </w:p>
    <w:p w14:paraId="1C9A44B5" w14:textId="77777777" w:rsidR="007D434A" w:rsidRPr="00F223CF" w:rsidRDefault="007D434A" w:rsidP="00194354">
      <w:pPr>
        <w:pStyle w:val="yiv4264280208msonormal"/>
        <w:shd w:val="clear" w:color="auto" w:fill="FFFFFF"/>
        <w:spacing w:before="0" w:beforeAutospacing="0" w:after="0" w:afterAutospacing="0"/>
        <w:jc w:val="both"/>
        <w:rPr>
          <w:rFonts w:ascii="Georgia" w:hAnsi="Georgia" w:cs="Arial"/>
          <w:color w:val="000000"/>
        </w:rPr>
      </w:pPr>
      <w:r w:rsidRPr="00F223CF">
        <w:rPr>
          <w:rFonts w:ascii="Georgia" w:hAnsi="Georgia" w:cs="Arial"/>
          <w:color w:val="000000"/>
        </w:rPr>
        <w:t xml:space="preserve">The above discussion of the Mississippi and Alabama </w:t>
      </w:r>
      <w:proofErr w:type="spellStart"/>
      <w:r w:rsidRPr="00F223CF">
        <w:rPr>
          <w:rFonts w:ascii="Georgia" w:hAnsi="Georgia" w:cs="Arial"/>
          <w:color w:val="000000"/>
        </w:rPr>
        <w:t>Claibornian</w:t>
      </w:r>
      <w:proofErr w:type="spellEnd"/>
      <w:r w:rsidRPr="00F223CF">
        <w:rPr>
          <w:rFonts w:ascii="Georgia" w:hAnsi="Georgia" w:cs="Arial"/>
          <w:color w:val="000000"/>
        </w:rPr>
        <w:t xml:space="preserve"> is relevant to the subsurface </w:t>
      </w:r>
      <w:proofErr w:type="spellStart"/>
      <w:r w:rsidRPr="00F223CF">
        <w:rPr>
          <w:rFonts w:ascii="Georgia" w:hAnsi="Georgia" w:cs="Arial"/>
          <w:color w:val="000000"/>
        </w:rPr>
        <w:t>Claibornian</w:t>
      </w:r>
      <w:proofErr w:type="spellEnd"/>
      <w:r w:rsidRPr="00F223CF">
        <w:rPr>
          <w:rFonts w:ascii="Georgia" w:hAnsi="Georgia" w:cs="Arial"/>
          <w:color w:val="000000"/>
        </w:rPr>
        <w:t xml:space="preserve"> limestone of Georgia in that there are </w:t>
      </w:r>
      <w:proofErr w:type="gramStart"/>
      <w:r w:rsidRPr="00F223CF">
        <w:rPr>
          <w:rFonts w:ascii="Georgia" w:hAnsi="Georgia" w:cs="Arial"/>
          <w:color w:val="000000"/>
        </w:rPr>
        <w:t>a number of</w:t>
      </w:r>
      <w:proofErr w:type="gramEnd"/>
      <w:r w:rsidRPr="00F223CF">
        <w:rPr>
          <w:rFonts w:ascii="Georgia" w:hAnsi="Georgia" w:cs="Arial"/>
          <w:color w:val="000000"/>
        </w:rPr>
        <w:t xml:space="preserve"> </w:t>
      </w:r>
      <w:proofErr w:type="spellStart"/>
      <w:r w:rsidRPr="00F223CF">
        <w:rPr>
          <w:rFonts w:ascii="Georgia" w:hAnsi="Georgia" w:cs="Arial"/>
          <w:color w:val="000000"/>
        </w:rPr>
        <w:t>lithologically</w:t>
      </w:r>
      <w:proofErr w:type="spellEnd"/>
      <w:r w:rsidRPr="00F223CF">
        <w:rPr>
          <w:rFonts w:ascii="Georgia" w:hAnsi="Georgia" w:cs="Arial"/>
          <w:color w:val="000000"/>
        </w:rPr>
        <w:t xml:space="preserve"> distinct intervals within the larger </w:t>
      </w:r>
      <w:proofErr w:type="spellStart"/>
      <w:r w:rsidRPr="00F223CF">
        <w:rPr>
          <w:rFonts w:ascii="Georgia" w:hAnsi="Georgia" w:cs="Arial"/>
          <w:color w:val="000000"/>
        </w:rPr>
        <w:t>Claibornian</w:t>
      </w:r>
      <w:proofErr w:type="spellEnd"/>
      <w:r w:rsidRPr="00F223CF">
        <w:rPr>
          <w:rFonts w:ascii="Georgia" w:hAnsi="Georgia" w:cs="Arial"/>
          <w:color w:val="000000"/>
        </w:rPr>
        <w:t xml:space="preserve"> limestone that have not been reliably correlated across the various downdip cores.  There also appears to be more lithostratigraphic subdivisions of the limestone than can be correlated with the outcropping </w:t>
      </w:r>
      <w:proofErr w:type="spellStart"/>
      <w:r w:rsidRPr="00F223CF">
        <w:rPr>
          <w:rFonts w:ascii="Georgia" w:hAnsi="Georgia" w:cs="Arial"/>
          <w:color w:val="000000"/>
        </w:rPr>
        <w:t>Claibornian</w:t>
      </w:r>
      <w:proofErr w:type="spellEnd"/>
      <w:r w:rsidRPr="00F223CF">
        <w:rPr>
          <w:rFonts w:ascii="Georgia" w:hAnsi="Georgia" w:cs="Arial"/>
          <w:color w:val="000000"/>
        </w:rPr>
        <w:t xml:space="preserve"> (as well as pre-</w:t>
      </w:r>
      <w:proofErr w:type="spellStart"/>
      <w:r w:rsidRPr="00F223CF">
        <w:rPr>
          <w:rFonts w:ascii="Georgia" w:hAnsi="Georgia" w:cs="Arial"/>
          <w:color w:val="000000"/>
        </w:rPr>
        <w:t>Claibornian</w:t>
      </w:r>
      <w:proofErr w:type="spellEnd"/>
      <w:r w:rsidRPr="00F223CF">
        <w:rPr>
          <w:rFonts w:ascii="Georgia" w:hAnsi="Georgia" w:cs="Arial"/>
          <w:color w:val="000000"/>
        </w:rPr>
        <w:t xml:space="preserve"> stratigraphic units).  These </w:t>
      </w:r>
      <w:r w:rsidRPr="00F223CF">
        <w:rPr>
          <w:rFonts w:ascii="Georgia" w:hAnsi="Georgia" w:cs="Arial"/>
          <w:color w:val="000000"/>
        </w:rPr>
        <w:lastRenderedPageBreak/>
        <w:t xml:space="preserve">unresolved, apparent stratigraphic units have been referred to in these </w:t>
      </w:r>
      <w:proofErr w:type="spellStart"/>
      <w:r w:rsidRPr="00F223CF">
        <w:rPr>
          <w:rFonts w:ascii="Georgia" w:hAnsi="Georgia" w:cs="Arial"/>
          <w:color w:val="000000"/>
        </w:rPr>
        <w:t>lithologs</w:t>
      </w:r>
      <w:proofErr w:type="spellEnd"/>
      <w:r w:rsidRPr="00F223CF">
        <w:rPr>
          <w:rFonts w:ascii="Georgia" w:hAnsi="Georgia" w:cs="Arial"/>
          <w:color w:val="000000"/>
        </w:rPr>
        <w:t xml:space="preserve"> as stratigraphic “intervals” </w:t>
      </w:r>
      <w:proofErr w:type="gramStart"/>
      <w:r w:rsidRPr="00F223CF">
        <w:rPr>
          <w:rFonts w:ascii="Georgia" w:hAnsi="Georgia" w:cs="Arial"/>
          <w:color w:val="000000"/>
        </w:rPr>
        <w:t>in order to</w:t>
      </w:r>
      <w:proofErr w:type="gramEnd"/>
      <w:r w:rsidRPr="00F223CF">
        <w:rPr>
          <w:rFonts w:ascii="Georgia" w:hAnsi="Georgia" w:cs="Arial"/>
          <w:color w:val="000000"/>
        </w:rPr>
        <w:t xml:space="preserve"> stress their informality and lack of known </w:t>
      </w:r>
      <w:r w:rsidRPr="00F223CF">
        <w:rPr>
          <w:rFonts w:ascii="Georgia" w:hAnsi="Georgia" w:cs="Arial"/>
          <w:i/>
          <w:iCs/>
          <w:color w:val="000000"/>
        </w:rPr>
        <w:t>real</w:t>
      </w:r>
      <w:r w:rsidRPr="00F223CF">
        <w:rPr>
          <w:rFonts w:ascii="Georgia" w:hAnsi="Georgia" w:cs="Arial"/>
          <w:color w:val="000000"/>
        </w:rPr>
        <w:t xml:space="preserve"> stratigraphic positions and correlations.  As a result, it is likely that there are as yet </w:t>
      </w:r>
      <w:proofErr w:type="gramStart"/>
      <w:r w:rsidRPr="00F223CF">
        <w:rPr>
          <w:rFonts w:ascii="Georgia" w:hAnsi="Georgia" w:cs="Arial"/>
          <w:color w:val="000000"/>
        </w:rPr>
        <w:t>unidentified  stratigraphic</w:t>
      </w:r>
      <w:proofErr w:type="gramEnd"/>
      <w:r w:rsidRPr="00F223CF">
        <w:rPr>
          <w:rFonts w:ascii="Georgia" w:hAnsi="Georgia" w:cs="Arial"/>
          <w:color w:val="000000"/>
        </w:rPr>
        <w:t xml:space="preserve"> relationships between the subsurface subdivisions/intervals of Georgia and the Mississippi-western Alabama </w:t>
      </w:r>
      <w:proofErr w:type="spellStart"/>
      <w:r w:rsidRPr="00F223CF">
        <w:rPr>
          <w:rFonts w:ascii="Georgia" w:hAnsi="Georgia" w:cs="Arial"/>
          <w:color w:val="000000"/>
        </w:rPr>
        <w:t>Claibornian</w:t>
      </w:r>
      <w:proofErr w:type="spellEnd"/>
      <w:r w:rsidRPr="00F223CF">
        <w:rPr>
          <w:rFonts w:ascii="Georgia" w:hAnsi="Georgia" w:cs="Arial"/>
          <w:color w:val="000000"/>
        </w:rPr>
        <w:t>.</w:t>
      </w:r>
    </w:p>
    <w:p w14:paraId="654AA666" w14:textId="183C26FA" w:rsidR="007D434A" w:rsidRPr="00F223CF" w:rsidRDefault="007D434A" w:rsidP="00194354">
      <w:pPr>
        <w:pStyle w:val="yiv4264280208msonormal"/>
        <w:shd w:val="clear" w:color="auto" w:fill="FFFFFF"/>
        <w:spacing w:before="0" w:beforeAutospacing="0" w:after="0" w:afterAutospacing="0"/>
        <w:jc w:val="both"/>
        <w:rPr>
          <w:rFonts w:ascii="Georgia" w:hAnsi="Georgia" w:cs="Arial"/>
          <w:color w:val="000000"/>
        </w:rPr>
      </w:pPr>
    </w:p>
    <w:p w14:paraId="56B00482" w14:textId="1D260EB2" w:rsidR="00FD7FE5" w:rsidRPr="00F223CF" w:rsidRDefault="00FD7FE5" w:rsidP="00194354">
      <w:pPr>
        <w:pStyle w:val="yiv4264280208msonormal"/>
        <w:shd w:val="clear" w:color="auto" w:fill="FFFFFF"/>
        <w:spacing w:before="0" w:beforeAutospacing="0" w:after="0" w:afterAutospacing="0"/>
        <w:jc w:val="both"/>
        <w:rPr>
          <w:rFonts w:ascii="Georgia" w:hAnsi="Georgia" w:cs="Arial"/>
          <w:b/>
          <w:bCs/>
          <w:color w:val="000000"/>
        </w:rPr>
      </w:pPr>
      <w:r w:rsidRPr="00F223CF">
        <w:rPr>
          <w:rFonts w:ascii="Georgia" w:hAnsi="Georgia" w:cs="Arial"/>
          <w:b/>
          <w:bCs/>
          <w:color w:val="000000"/>
        </w:rPr>
        <w:t>Early Eocene</w:t>
      </w:r>
    </w:p>
    <w:p w14:paraId="580E9156" w14:textId="1D3BB3E3" w:rsidR="00DC3BAD" w:rsidRPr="00F223CF" w:rsidRDefault="00F223CF" w:rsidP="00194354">
      <w:pPr>
        <w:pStyle w:val="yiv4264280208msonormal"/>
        <w:shd w:val="clear" w:color="auto" w:fill="FFFFFF"/>
        <w:spacing w:before="0" w:beforeAutospacing="0" w:after="0" w:afterAutospacing="0"/>
        <w:jc w:val="both"/>
        <w:rPr>
          <w:rFonts w:ascii="Georgia" w:hAnsi="Georgia" w:cs="Arial"/>
          <w:b/>
          <w:bCs/>
          <w:color w:val="000000"/>
        </w:rPr>
      </w:pPr>
      <w:proofErr w:type="spellStart"/>
      <w:r w:rsidRPr="00F223CF">
        <w:rPr>
          <w:rFonts w:ascii="Georgia" w:hAnsi="Georgia" w:cs="Arial"/>
          <w:b/>
          <w:bCs/>
          <w:color w:val="000000"/>
        </w:rPr>
        <w:t>Hatchetigbee</w:t>
      </w:r>
      <w:proofErr w:type="spellEnd"/>
      <w:r w:rsidRPr="00F223CF">
        <w:rPr>
          <w:rFonts w:ascii="Georgia" w:hAnsi="Georgia" w:cs="Arial"/>
          <w:b/>
          <w:bCs/>
          <w:color w:val="000000"/>
        </w:rPr>
        <w:t xml:space="preserve"> and </w:t>
      </w:r>
      <w:proofErr w:type="spellStart"/>
      <w:r w:rsidRPr="00F223CF">
        <w:rPr>
          <w:rFonts w:ascii="Georgia" w:hAnsi="Georgia" w:cs="Arial"/>
          <w:b/>
          <w:bCs/>
          <w:color w:val="000000"/>
        </w:rPr>
        <w:t>Bashi</w:t>
      </w:r>
      <w:proofErr w:type="spellEnd"/>
      <w:r w:rsidRPr="00F223CF">
        <w:rPr>
          <w:rFonts w:ascii="Georgia" w:hAnsi="Georgia" w:cs="Arial"/>
          <w:b/>
          <w:bCs/>
          <w:color w:val="000000"/>
        </w:rPr>
        <w:t xml:space="preserve"> Formations</w:t>
      </w:r>
    </w:p>
    <w:p w14:paraId="7BDE7E4D" w14:textId="5256CED6" w:rsidR="007D434A" w:rsidRPr="00F223CF" w:rsidRDefault="007D434A" w:rsidP="00194354">
      <w:pPr>
        <w:pStyle w:val="yiv4264280208msonormal"/>
        <w:shd w:val="clear" w:color="auto" w:fill="FFFFFF"/>
        <w:spacing w:before="0" w:beforeAutospacing="0" w:after="0" w:afterAutospacing="0"/>
        <w:jc w:val="both"/>
        <w:rPr>
          <w:rFonts w:ascii="Georgia" w:hAnsi="Georgia" w:cs="Arial"/>
          <w:color w:val="000000"/>
        </w:rPr>
      </w:pPr>
      <w:r w:rsidRPr="00F223CF">
        <w:rPr>
          <w:rFonts w:ascii="Georgia" w:hAnsi="Georgia" w:cs="Arial"/>
          <w:color w:val="000000"/>
        </w:rPr>
        <w:t xml:space="preserve">The stratigraphy of the Early Eocene and Paleocene subsurface of Georgia seem somewhat less complicated than that of the </w:t>
      </w:r>
      <w:proofErr w:type="spellStart"/>
      <w:r w:rsidRPr="00F223CF">
        <w:rPr>
          <w:rFonts w:ascii="Georgia" w:hAnsi="Georgia" w:cs="Arial"/>
          <w:color w:val="000000"/>
        </w:rPr>
        <w:t>Claibornian</w:t>
      </w:r>
      <w:proofErr w:type="spellEnd"/>
      <w:r w:rsidRPr="00F223CF">
        <w:rPr>
          <w:rFonts w:ascii="Georgia" w:hAnsi="Georgia" w:cs="Arial"/>
          <w:color w:val="000000"/>
        </w:rPr>
        <w:t xml:space="preserve">.  The lower Eocene, </w:t>
      </w:r>
      <w:proofErr w:type="spellStart"/>
      <w:r w:rsidRPr="00F223CF">
        <w:rPr>
          <w:rFonts w:ascii="Georgia" w:hAnsi="Georgia" w:cs="Arial"/>
          <w:color w:val="000000"/>
        </w:rPr>
        <w:t>Hatchetigbee</w:t>
      </w:r>
      <w:proofErr w:type="spellEnd"/>
      <w:r w:rsidRPr="00F223CF">
        <w:rPr>
          <w:rFonts w:ascii="Georgia" w:hAnsi="Georgia" w:cs="Arial"/>
          <w:color w:val="000000"/>
        </w:rPr>
        <w:t xml:space="preserve"> and </w:t>
      </w:r>
      <w:proofErr w:type="spellStart"/>
      <w:r w:rsidRPr="00F223CF">
        <w:rPr>
          <w:rFonts w:ascii="Georgia" w:hAnsi="Georgia" w:cs="Arial"/>
          <w:color w:val="000000"/>
        </w:rPr>
        <w:t>Bashi</w:t>
      </w:r>
      <w:proofErr w:type="spellEnd"/>
      <w:r w:rsidRPr="00F223CF">
        <w:rPr>
          <w:rFonts w:ascii="Georgia" w:hAnsi="Georgia" w:cs="Arial"/>
          <w:color w:val="000000"/>
        </w:rPr>
        <w:t xml:space="preserve"> Formations of the Wilcox Group are known to crop out in Georgia only in western Georgia and consist of one subsurface stratigraphic unit in the lower Flint River area and eastward.  The </w:t>
      </w:r>
      <w:proofErr w:type="spellStart"/>
      <w:r w:rsidRPr="00F223CF">
        <w:rPr>
          <w:rFonts w:ascii="Georgia" w:hAnsi="Georgia" w:cs="Arial"/>
          <w:color w:val="000000"/>
        </w:rPr>
        <w:t>Hatchetigbee</w:t>
      </w:r>
      <w:proofErr w:type="spellEnd"/>
      <w:r w:rsidRPr="00F223CF">
        <w:rPr>
          <w:rFonts w:ascii="Georgia" w:hAnsi="Georgia" w:cs="Arial"/>
          <w:color w:val="000000"/>
        </w:rPr>
        <w:t xml:space="preserve"> Formation </w:t>
      </w:r>
      <w:r w:rsidRPr="00F223CF">
        <w:rPr>
          <w:rFonts w:ascii="Georgia" w:hAnsi="Georgia" w:cs="Arial"/>
          <w:i/>
          <w:iCs/>
          <w:color w:val="000000"/>
        </w:rPr>
        <w:t>per se</w:t>
      </w:r>
      <w:r w:rsidRPr="00F223CF">
        <w:rPr>
          <w:rFonts w:ascii="Georgia" w:hAnsi="Georgia" w:cs="Arial"/>
          <w:color w:val="000000"/>
        </w:rPr>
        <w:t xml:space="preserve"> is known only in the Randolph County area; elsewhere the lower Eocene interval appears to consist only of </w:t>
      </w:r>
      <w:proofErr w:type="spellStart"/>
      <w:r w:rsidRPr="00F223CF">
        <w:rPr>
          <w:rFonts w:ascii="Georgia" w:hAnsi="Georgia" w:cs="Arial"/>
          <w:color w:val="000000"/>
        </w:rPr>
        <w:t>Bashi</w:t>
      </w:r>
      <w:proofErr w:type="spellEnd"/>
      <w:r w:rsidRPr="00F223CF">
        <w:rPr>
          <w:rFonts w:ascii="Georgia" w:hAnsi="Georgia" w:cs="Arial"/>
          <w:color w:val="000000"/>
        </w:rPr>
        <w:t xml:space="preserve">-equivalent, strongly glauconitic/greensands with variably calcareous, argillaceous sands.  As described above, at this time it appears that the most widespread and most glauconitic of the Tertiary deposits in Georgia is the subsurface lower Eocene.  It is also noted that the glauconitic, Lower Eocene formation is not </w:t>
      </w:r>
      <w:proofErr w:type="spellStart"/>
      <w:r w:rsidRPr="00F223CF">
        <w:rPr>
          <w:rFonts w:ascii="Georgia" w:hAnsi="Georgia" w:cs="Arial"/>
          <w:color w:val="000000"/>
        </w:rPr>
        <w:t>lithostratigraphically</w:t>
      </w:r>
      <w:proofErr w:type="spellEnd"/>
      <w:r w:rsidRPr="00F223CF">
        <w:rPr>
          <w:rFonts w:ascii="Georgia" w:hAnsi="Georgia" w:cs="Arial"/>
          <w:color w:val="000000"/>
        </w:rPr>
        <w:t xml:space="preserve"> </w:t>
      </w:r>
      <w:proofErr w:type="spellStart"/>
      <w:r w:rsidRPr="00F223CF">
        <w:rPr>
          <w:rFonts w:ascii="Georgia" w:hAnsi="Georgia" w:cs="Arial"/>
          <w:color w:val="000000"/>
        </w:rPr>
        <w:t>Bashi</w:t>
      </w:r>
      <w:proofErr w:type="spellEnd"/>
      <w:r w:rsidRPr="00F223CF">
        <w:rPr>
          <w:rFonts w:ascii="Georgia" w:hAnsi="Georgia" w:cs="Arial"/>
          <w:color w:val="000000"/>
        </w:rPr>
        <w:t xml:space="preserve"> or </w:t>
      </w:r>
      <w:proofErr w:type="spellStart"/>
      <w:r w:rsidRPr="00F223CF">
        <w:rPr>
          <w:rFonts w:ascii="Georgia" w:hAnsi="Georgia" w:cs="Arial"/>
          <w:color w:val="000000"/>
        </w:rPr>
        <w:t>Hatchetigbee</w:t>
      </w:r>
      <w:proofErr w:type="spellEnd"/>
      <w:r w:rsidRPr="00F223CF">
        <w:rPr>
          <w:rFonts w:ascii="Georgia" w:hAnsi="Georgia" w:cs="Arial"/>
          <w:color w:val="000000"/>
        </w:rPr>
        <w:t xml:space="preserve"> but is currently unnamed for lack of information on its detailed stratigraphic characteristics and subsurface extent.</w:t>
      </w:r>
    </w:p>
    <w:p w14:paraId="21A05BB7" w14:textId="77777777" w:rsidR="007D434A" w:rsidRPr="00F223CF" w:rsidRDefault="007D434A" w:rsidP="00194354">
      <w:pPr>
        <w:pStyle w:val="yiv4264280208msonormal"/>
        <w:shd w:val="clear" w:color="auto" w:fill="FFFFFF"/>
        <w:spacing w:before="0" w:beforeAutospacing="0" w:after="0" w:afterAutospacing="0"/>
        <w:jc w:val="both"/>
        <w:rPr>
          <w:rFonts w:ascii="Georgia" w:hAnsi="Georgia" w:cs="Arial"/>
          <w:color w:val="000000"/>
        </w:rPr>
      </w:pPr>
      <w:r w:rsidRPr="00F223CF">
        <w:rPr>
          <w:rFonts w:ascii="Georgia" w:hAnsi="Georgia" w:cs="Arial"/>
          <w:color w:val="000000"/>
        </w:rPr>
        <w:t> </w:t>
      </w:r>
    </w:p>
    <w:p w14:paraId="7CAAD94B" w14:textId="49A34CD1" w:rsidR="00FD7FE5" w:rsidRPr="00F223CF" w:rsidRDefault="000A7DD7" w:rsidP="00194354">
      <w:pPr>
        <w:pStyle w:val="yiv4264280208msonormal"/>
        <w:shd w:val="clear" w:color="auto" w:fill="FFFFFF"/>
        <w:spacing w:before="0" w:beforeAutospacing="0" w:after="0" w:afterAutospacing="0"/>
        <w:jc w:val="both"/>
        <w:rPr>
          <w:rFonts w:ascii="Georgia" w:hAnsi="Georgia" w:cs="Arial"/>
          <w:b/>
          <w:bCs/>
          <w:color w:val="000000"/>
        </w:rPr>
      </w:pPr>
      <w:r w:rsidRPr="00F223CF">
        <w:rPr>
          <w:rFonts w:ascii="Georgia" w:hAnsi="Georgia" w:cs="Arial"/>
          <w:b/>
          <w:bCs/>
          <w:color w:val="000000"/>
        </w:rPr>
        <w:t xml:space="preserve">Late </w:t>
      </w:r>
      <w:r w:rsidR="00FD7FE5" w:rsidRPr="00F223CF">
        <w:rPr>
          <w:rFonts w:ascii="Georgia" w:hAnsi="Georgia" w:cs="Arial"/>
          <w:b/>
          <w:bCs/>
          <w:color w:val="000000"/>
        </w:rPr>
        <w:t>Paleocene</w:t>
      </w:r>
    </w:p>
    <w:p w14:paraId="18C6BBEE" w14:textId="45E8912F" w:rsidR="00F957F0" w:rsidRPr="00F223CF" w:rsidRDefault="00F957F0" w:rsidP="00194354">
      <w:pPr>
        <w:pStyle w:val="yiv4264280208msonormal"/>
        <w:shd w:val="clear" w:color="auto" w:fill="FFFFFF"/>
        <w:spacing w:before="0" w:beforeAutospacing="0" w:after="0" w:afterAutospacing="0"/>
        <w:jc w:val="both"/>
        <w:rPr>
          <w:rFonts w:ascii="Georgia" w:hAnsi="Georgia" w:cs="Arial"/>
          <w:b/>
          <w:bCs/>
          <w:color w:val="000000"/>
        </w:rPr>
      </w:pPr>
      <w:proofErr w:type="spellStart"/>
      <w:r w:rsidRPr="00F223CF">
        <w:rPr>
          <w:rFonts w:ascii="Georgia" w:hAnsi="Georgia" w:cs="Arial"/>
          <w:b/>
          <w:bCs/>
          <w:color w:val="000000"/>
        </w:rPr>
        <w:t>Nanafalia</w:t>
      </w:r>
      <w:proofErr w:type="spellEnd"/>
      <w:r w:rsidRPr="00F223CF">
        <w:rPr>
          <w:rFonts w:ascii="Georgia" w:hAnsi="Georgia" w:cs="Arial"/>
          <w:b/>
          <w:bCs/>
          <w:color w:val="000000"/>
        </w:rPr>
        <w:t xml:space="preserve">, </w:t>
      </w:r>
      <w:proofErr w:type="spellStart"/>
      <w:r w:rsidRPr="00F223CF">
        <w:rPr>
          <w:rFonts w:ascii="Georgia" w:hAnsi="Georgia" w:cs="Arial"/>
          <w:b/>
          <w:bCs/>
          <w:color w:val="000000"/>
        </w:rPr>
        <w:t>Tucahoma</w:t>
      </w:r>
      <w:proofErr w:type="spellEnd"/>
      <w:r w:rsidR="00D83CCA" w:rsidRPr="00F223CF">
        <w:rPr>
          <w:rFonts w:ascii="Georgia" w:hAnsi="Georgia" w:cs="Arial"/>
          <w:b/>
          <w:bCs/>
          <w:color w:val="000000"/>
        </w:rPr>
        <w:t xml:space="preserve"> &amp; Baker Hill Formations</w:t>
      </w:r>
    </w:p>
    <w:p w14:paraId="1FEB4C2E" w14:textId="5CFD4E1F" w:rsidR="007D434A" w:rsidRPr="00F223CF" w:rsidRDefault="007D434A" w:rsidP="00194354">
      <w:pPr>
        <w:pStyle w:val="yiv4264280208msonormal"/>
        <w:shd w:val="clear" w:color="auto" w:fill="FFFFFF"/>
        <w:spacing w:before="0" w:beforeAutospacing="0" w:after="0" w:afterAutospacing="0"/>
        <w:jc w:val="both"/>
        <w:rPr>
          <w:rFonts w:ascii="Georgia" w:hAnsi="Georgia" w:cs="Arial"/>
          <w:color w:val="000000"/>
        </w:rPr>
      </w:pPr>
      <w:r w:rsidRPr="00F223CF">
        <w:rPr>
          <w:rFonts w:ascii="Georgia" w:hAnsi="Georgia" w:cs="Arial"/>
          <w:color w:val="000000"/>
        </w:rPr>
        <w:t xml:space="preserve">The </w:t>
      </w:r>
      <w:proofErr w:type="spellStart"/>
      <w:r w:rsidRPr="00F223CF">
        <w:rPr>
          <w:rFonts w:ascii="Georgia" w:hAnsi="Georgia" w:cs="Arial"/>
          <w:color w:val="000000"/>
        </w:rPr>
        <w:t>Nanafalia</w:t>
      </w:r>
      <w:proofErr w:type="spellEnd"/>
      <w:r w:rsidRPr="00F223CF">
        <w:rPr>
          <w:rFonts w:ascii="Georgia" w:hAnsi="Georgia" w:cs="Arial"/>
          <w:color w:val="000000"/>
        </w:rPr>
        <w:t xml:space="preserve"> and </w:t>
      </w:r>
      <w:proofErr w:type="spellStart"/>
      <w:r w:rsidRPr="00F223CF">
        <w:rPr>
          <w:rFonts w:ascii="Georgia" w:hAnsi="Georgia" w:cs="Arial"/>
          <w:color w:val="000000"/>
        </w:rPr>
        <w:t>Tuscahoma</w:t>
      </w:r>
      <w:proofErr w:type="spellEnd"/>
      <w:r w:rsidRPr="00F223CF">
        <w:rPr>
          <w:rFonts w:ascii="Georgia" w:hAnsi="Georgia" w:cs="Arial"/>
          <w:color w:val="000000"/>
        </w:rPr>
        <w:t xml:space="preserve"> Formations of the Wilcox Group are the only representatives of the Upper Paleocene, </w:t>
      </w:r>
      <w:proofErr w:type="spellStart"/>
      <w:r w:rsidRPr="00F223CF">
        <w:rPr>
          <w:rFonts w:ascii="Georgia" w:hAnsi="Georgia" w:cs="Arial"/>
          <w:color w:val="000000"/>
        </w:rPr>
        <w:t>Sabinian</w:t>
      </w:r>
      <w:proofErr w:type="spellEnd"/>
      <w:r w:rsidRPr="00F223CF">
        <w:rPr>
          <w:rFonts w:ascii="Georgia" w:hAnsi="Georgia" w:cs="Arial"/>
          <w:color w:val="000000"/>
        </w:rPr>
        <w:t xml:space="preserve">/Thanetian, marine deposits in western and central Georgia.  The </w:t>
      </w:r>
      <w:proofErr w:type="spellStart"/>
      <w:r w:rsidRPr="00F223CF">
        <w:rPr>
          <w:rFonts w:ascii="Georgia" w:hAnsi="Georgia" w:cs="Arial"/>
          <w:color w:val="000000"/>
        </w:rPr>
        <w:t>Nanafalia</w:t>
      </w:r>
      <w:proofErr w:type="spellEnd"/>
      <w:r w:rsidRPr="00F223CF">
        <w:rPr>
          <w:rFonts w:ascii="Georgia" w:hAnsi="Georgia" w:cs="Arial"/>
          <w:color w:val="000000"/>
        </w:rPr>
        <w:t xml:space="preserve"> Formation is primarily a sand formation whereas the </w:t>
      </w:r>
      <w:proofErr w:type="spellStart"/>
      <w:r w:rsidRPr="00F223CF">
        <w:rPr>
          <w:rFonts w:ascii="Georgia" w:hAnsi="Georgia" w:cs="Arial"/>
          <w:color w:val="000000"/>
        </w:rPr>
        <w:t>Tuscahoma</w:t>
      </w:r>
      <w:proofErr w:type="spellEnd"/>
      <w:r w:rsidRPr="00F223CF">
        <w:rPr>
          <w:rFonts w:ascii="Georgia" w:hAnsi="Georgia" w:cs="Arial"/>
          <w:color w:val="000000"/>
        </w:rPr>
        <w:t xml:space="preserve"> is a fine sand and clay formation in Georgia. Both the </w:t>
      </w:r>
      <w:proofErr w:type="spellStart"/>
      <w:r w:rsidRPr="00F223CF">
        <w:rPr>
          <w:rFonts w:ascii="Georgia" w:hAnsi="Georgia" w:cs="Arial"/>
          <w:color w:val="000000"/>
        </w:rPr>
        <w:t>Nanafalia</w:t>
      </w:r>
      <w:proofErr w:type="spellEnd"/>
      <w:r w:rsidRPr="00F223CF">
        <w:rPr>
          <w:rFonts w:ascii="Georgia" w:hAnsi="Georgia" w:cs="Arial"/>
          <w:color w:val="000000"/>
        </w:rPr>
        <w:t xml:space="preserve"> and </w:t>
      </w:r>
      <w:proofErr w:type="spellStart"/>
      <w:r w:rsidRPr="00F223CF">
        <w:rPr>
          <w:rFonts w:ascii="Georgia" w:hAnsi="Georgia" w:cs="Arial"/>
          <w:color w:val="000000"/>
        </w:rPr>
        <w:t>Tuscahoma</w:t>
      </w:r>
      <w:proofErr w:type="spellEnd"/>
      <w:r w:rsidRPr="00F223CF">
        <w:rPr>
          <w:rFonts w:ascii="Georgia" w:hAnsi="Georgia" w:cs="Arial"/>
          <w:color w:val="000000"/>
        </w:rPr>
        <w:t xml:space="preserve"> Formations have been traced as far east as Houston County.  They have not been traced farther east because of lack of deeper, downdip core control east of Houston County.  However, the Baker Hill Formation has been traced as far east as Laurens County.  Because the </w:t>
      </w:r>
      <w:proofErr w:type="spellStart"/>
      <w:r w:rsidRPr="00F223CF">
        <w:rPr>
          <w:rFonts w:ascii="Georgia" w:hAnsi="Georgia" w:cs="Arial"/>
          <w:color w:val="000000"/>
        </w:rPr>
        <w:t>Nanafalia</w:t>
      </w:r>
      <w:proofErr w:type="spellEnd"/>
      <w:r w:rsidRPr="00F223CF">
        <w:rPr>
          <w:rFonts w:ascii="Georgia" w:hAnsi="Georgia" w:cs="Arial"/>
          <w:color w:val="000000"/>
        </w:rPr>
        <w:t xml:space="preserve"> Formation is known to grade laterally into the Baker Hill Formation in Sumter County, it is assumed here that the </w:t>
      </w:r>
      <w:proofErr w:type="spellStart"/>
      <w:r w:rsidRPr="00F223CF">
        <w:rPr>
          <w:rFonts w:ascii="Georgia" w:hAnsi="Georgia" w:cs="Arial"/>
          <w:color w:val="000000"/>
        </w:rPr>
        <w:t>Nanafalia</w:t>
      </w:r>
      <w:proofErr w:type="spellEnd"/>
      <w:r w:rsidRPr="00F223CF">
        <w:rPr>
          <w:rFonts w:ascii="Georgia" w:hAnsi="Georgia" w:cs="Arial"/>
          <w:color w:val="000000"/>
        </w:rPr>
        <w:t xml:space="preserve"> may occur in the subsurface of southern Laurens County.  In the Savannah area the Snapp Formation occurs in the stratigraphic position of the Baker Hill Formation and </w:t>
      </w:r>
      <w:proofErr w:type="spellStart"/>
      <w:r w:rsidRPr="00F223CF">
        <w:rPr>
          <w:rFonts w:ascii="Georgia" w:hAnsi="Georgia" w:cs="Arial"/>
          <w:color w:val="000000"/>
        </w:rPr>
        <w:t>Nanafalia</w:t>
      </w:r>
      <w:proofErr w:type="spellEnd"/>
      <w:r w:rsidRPr="00F223CF">
        <w:rPr>
          <w:rFonts w:ascii="Georgia" w:hAnsi="Georgia" w:cs="Arial"/>
          <w:color w:val="000000"/>
        </w:rPr>
        <w:t>/</w:t>
      </w:r>
      <w:proofErr w:type="spellStart"/>
      <w:r w:rsidRPr="00F223CF">
        <w:rPr>
          <w:rFonts w:ascii="Georgia" w:hAnsi="Georgia" w:cs="Arial"/>
          <w:color w:val="000000"/>
        </w:rPr>
        <w:t>Tuscahoma</w:t>
      </w:r>
      <w:proofErr w:type="spellEnd"/>
      <w:r w:rsidRPr="00F223CF">
        <w:rPr>
          <w:rFonts w:ascii="Georgia" w:hAnsi="Georgia" w:cs="Arial"/>
          <w:color w:val="000000"/>
        </w:rPr>
        <w:t xml:space="preserve"> Formations but its </w:t>
      </w:r>
      <w:r w:rsidRPr="00F223CF">
        <w:rPr>
          <w:rFonts w:ascii="Georgia" w:hAnsi="Georgia" w:cs="Arial"/>
          <w:i/>
          <w:iCs/>
          <w:color w:val="000000"/>
        </w:rPr>
        <w:t>real </w:t>
      </w:r>
      <w:r w:rsidRPr="00F223CF">
        <w:rPr>
          <w:rFonts w:ascii="Georgia" w:hAnsi="Georgia" w:cs="Arial"/>
          <w:color w:val="000000"/>
        </w:rPr>
        <w:t xml:space="preserve">stratigraphic position in that area has yet to be defined </w:t>
      </w:r>
      <w:proofErr w:type="spellStart"/>
      <w:r w:rsidRPr="00F223CF">
        <w:rPr>
          <w:rFonts w:ascii="Georgia" w:hAnsi="Georgia" w:cs="Arial"/>
          <w:color w:val="000000"/>
        </w:rPr>
        <w:t>biostratigraphically</w:t>
      </w:r>
      <w:proofErr w:type="spellEnd"/>
      <w:r w:rsidRPr="00F223CF">
        <w:rPr>
          <w:rFonts w:ascii="Georgia" w:hAnsi="Georgia" w:cs="Arial"/>
          <w:color w:val="000000"/>
        </w:rPr>
        <w:t xml:space="preserve">, being deficient of known microfossils.  The one core that apparently penetrates the Upper Paleocene, Thanetian, in the Savannah River area is the </w:t>
      </w:r>
      <w:proofErr w:type="spellStart"/>
      <w:r w:rsidRPr="00F223CF">
        <w:rPr>
          <w:rFonts w:ascii="Georgia" w:hAnsi="Georgia" w:cs="Arial"/>
          <w:color w:val="000000"/>
        </w:rPr>
        <w:t>Pineora</w:t>
      </w:r>
      <w:proofErr w:type="spellEnd"/>
      <w:r w:rsidRPr="00F223CF">
        <w:rPr>
          <w:rFonts w:ascii="Georgia" w:hAnsi="Georgia" w:cs="Arial"/>
          <w:color w:val="000000"/>
        </w:rPr>
        <w:t xml:space="preserve"> core in southern Effingham County.  The stratigraphic interval, Interval 8 in the </w:t>
      </w:r>
      <w:proofErr w:type="spellStart"/>
      <w:r w:rsidRPr="00F223CF">
        <w:rPr>
          <w:rFonts w:ascii="Georgia" w:hAnsi="Georgia" w:cs="Arial"/>
          <w:color w:val="000000"/>
        </w:rPr>
        <w:t>Pineora</w:t>
      </w:r>
      <w:proofErr w:type="spellEnd"/>
      <w:r w:rsidRPr="00F223CF">
        <w:rPr>
          <w:rFonts w:ascii="Georgia" w:hAnsi="Georgia" w:cs="Arial"/>
          <w:color w:val="000000"/>
        </w:rPr>
        <w:t xml:space="preserve"> core</w:t>
      </w:r>
      <w:r w:rsidR="008E6FCE" w:rsidRPr="00F223CF">
        <w:rPr>
          <w:rFonts w:ascii="Georgia" w:hAnsi="Georgia" w:cs="Arial"/>
          <w:color w:val="000000"/>
        </w:rPr>
        <w:t xml:space="preserve"> (included on this page)</w:t>
      </w:r>
      <w:r w:rsidRPr="00F223CF">
        <w:rPr>
          <w:rFonts w:ascii="Georgia" w:hAnsi="Georgia" w:cs="Arial"/>
          <w:color w:val="000000"/>
        </w:rPr>
        <w:t xml:space="preserve">, is neither </w:t>
      </w:r>
      <w:proofErr w:type="spellStart"/>
      <w:r w:rsidRPr="00F223CF">
        <w:rPr>
          <w:rFonts w:ascii="Georgia" w:hAnsi="Georgia" w:cs="Arial"/>
          <w:color w:val="000000"/>
        </w:rPr>
        <w:t>Nanafalia</w:t>
      </w:r>
      <w:proofErr w:type="spellEnd"/>
      <w:r w:rsidRPr="00F223CF">
        <w:rPr>
          <w:rFonts w:ascii="Georgia" w:hAnsi="Georgia" w:cs="Arial"/>
          <w:color w:val="000000"/>
        </w:rPr>
        <w:t xml:space="preserve"> Formation nor </w:t>
      </w:r>
      <w:proofErr w:type="spellStart"/>
      <w:r w:rsidRPr="00F223CF">
        <w:rPr>
          <w:rFonts w:ascii="Georgia" w:hAnsi="Georgia" w:cs="Arial"/>
          <w:color w:val="000000"/>
        </w:rPr>
        <w:t>Tuscahoma</w:t>
      </w:r>
      <w:proofErr w:type="spellEnd"/>
      <w:r w:rsidRPr="00F223CF">
        <w:rPr>
          <w:rFonts w:ascii="Georgia" w:hAnsi="Georgia" w:cs="Arial"/>
          <w:color w:val="000000"/>
        </w:rPr>
        <w:t> </w:t>
      </w:r>
      <w:r w:rsidRPr="00F223CF">
        <w:rPr>
          <w:rFonts w:ascii="Georgia" w:hAnsi="Georgia" w:cs="Arial"/>
          <w:i/>
          <w:iCs/>
          <w:color w:val="000000"/>
        </w:rPr>
        <w:t>Formation</w:t>
      </w:r>
      <w:r w:rsidRPr="00F223CF">
        <w:rPr>
          <w:rFonts w:ascii="Georgia" w:hAnsi="Georgia" w:cs="Arial"/>
          <w:color w:val="000000"/>
        </w:rPr>
        <w:t xml:space="preserve">.  Similarly, farther south in the Davis-Hopkins core in Wayne </w:t>
      </w:r>
      <w:proofErr w:type="gramStart"/>
      <w:r w:rsidRPr="00F223CF">
        <w:rPr>
          <w:rFonts w:ascii="Georgia" w:hAnsi="Georgia" w:cs="Arial"/>
          <w:color w:val="000000"/>
        </w:rPr>
        <w:t>County,  Interval</w:t>
      </w:r>
      <w:proofErr w:type="gramEnd"/>
      <w:r w:rsidRPr="00F223CF">
        <w:rPr>
          <w:rFonts w:ascii="Georgia" w:hAnsi="Georgia" w:cs="Arial"/>
          <w:color w:val="000000"/>
        </w:rPr>
        <w:t xml:space="preserve"> 9 in that core occurs in the relative stratigraphic position of the </w:t>
      </w:r>
      <w:proofErr w:type="spellStart"/>
      <w:r w:rsidRPr="00F223CF">
        <w:rPr>
          <w:rFonts w:ascii="Georgia" w:hAnsi="Georgia" w:cs="Arial"/>
          <w:color w:val="000000"/>
        </w:rPr>
        <w:t>Nanafalia</w:t>
      </w:r>
      <w:proofErr w:type="spellEnd"/>
      <w:r w:rsidRPr="00F223CF">
        <w:rPr>
          <w:rFonts w:ascii="Georgia" w:hAnsi="Georgia" w:cs="Arial"/>
          <w:color w:val="000000"/>
        </w:rPr>
        <w:t>/</w:t>
      </w:r>
      <w:proofErr w:type="spellStart"/>
      <w:r w:rsidRPr="00F223CF">
        <w:rPr>
          <w:rFonts w:ascii="Georgia" w:hAnsi="Georgia" w:cs="Arial"/>
          <w:color w:val="000000"/>
        </w:rPr>
        <w:t>Tuscahoma</w:t>
      </w:r>
      <w:proofErr w:type="spellEnd"/>
      <w:r w:rsidRPr="00F223CF">
        <w:rPr>
          <w:rFonts w:ascii="Georgia" w:hAnsi="Georgia" w:cs="Arial"/>
          <w:color w:val="000000"/>
        </w:rPr>
        <w:t xml:space="preserve"> and the few planktonic foraminifera extracted from that interval </w:t>
      </w:r>
      <w:r w:rsidRPr="00F223CF">
        <w:rPr>
          <w:rFonts w:ascii="Georgia" w:hAnsi="Georgia" w:cs="Arial"/>
          <w:color w:val="000000"/>
        </w:rPr>
        <w:lastRenderedPageBreak/>
        <w:t xml:space="preserve">are compatible with </w:t>
      </w:r>
      <w:proofErr w:type="spellStart"/>
      <w:r w:rsidRPr="00F223CF">
        <w:rPr>
          <w:rFonts w:ascii="Georgia" w:hAnsi="Georgia" w:cs="Arial"/>
          <w:color w:val="000000"/>
        </w:rPr>
        <w:t>Nanafalia</w:t>
      </w:r>
      <w:proofErr w:type="spellEnd"/>
      <w:r w:rsidRPr="00F223CF">
        <w:rPr>
          <w:rFonts w:ascii="Georgia" w:hAnsi="Georgia" w:cs="Arial"/>
          <w:color w:val="000000"/>
        </w:rPr>
        <w:t>/</w:t>
      </w:r>
      <w:proofErr w:type="spellStart"/>
      <w:r w:rsidRPr="00F223CF">
        <w:rPr>
          <w:rFonts w:ascii="Georgia" w:hAnsi="Georgia" w:cs="Arial"/>
          <w:color w:val="000000"/>
        </w:rPr>
        <w:t>Tuscahoma</w:t>
      </w:r>
      <w:proofErr w:type="spellEnd"/>
      <w:r w:rsidRPr="00F223CF">
        <w:rPr>
          <w:rFonts w:ascii="Georgia" w:hAnsi="Georgia" w:cs="Arial"/>
          <w:color w:val="000000"/>
        </w:rPr>
        <w:t xml:space="preserve"> equivalent.  However, Interval 9, or any other stratigraphic interval in that core, is incompatible with </w:t>
      </w:r>
      <w:proofErr w:type="spellStart"/>
      <w:r w:rsidRPr="00F223CF">
        <w:rPr>
          <w:rFonts w:ascii="Georgia" w:hAnsi="Georgia" w:cs="Arial"/>
          <w:color w:val="000000"/>
        </w:rPr>
        <w:t>Nanafalia</w:t>
      </w:r>
      <w:proofErr w:type="spellEnd"/>
      <w:r w:rsidRPr="00F223CF">
        <w:rPr>
          <w:rFonts w:ascii="Georgia" w:hAnsi="Georgia" w:cs="Arial"/>
          <w:color w:val="000000"/>
        </w:rPr>
        <w:t>/</w:t>
      </w:r>
      <w:proofErr w:type="spellStart"/>
      <w:r w:rsidRPr="00F223CF">
        <w:rPr>
          <w:rFonts w:ascii="Georgia" w:hAnsi="Georgia" w:cs="Arial"/>
          <w:color w:val="000000"/>
        </w:rPr>
        <w:t>Tuscahoma</w:t>
      </w:r>
      <w:proofErr w:type="spellEnd"/>
      <w:r w:rsidRPr="00F223CF">
        <w:rPr>
          <w:rFonts w:ascii="Georgia" w:hAnsi="Georgia" w:cs="Arial"/>
          <w:color w:val="000000"/>
        </w:rPr>
        <w:t xml:space="preserve"> lithology.</w:t>
      </w:r>
    </w:p>
    <w:p w14:paraId="20D64C3E" w14:textId="77777777" w:rsidR="007D434A" w:rsidRPr="00F223CF" w:rsidRDefault="007D434A" w:rsidP="00194354">
      <w:pPr>
        <w:pStyle w:val="yiv4264280208msonormal"/>
        <w:shd w:val="clear" w:color="auto" w:fill="FFFFFF"/>
        <w:spacing w:before="0" w:beforeAutospacing="0" w:after="0" w:afterAutospacing="0"/>
        <w:jc w:val="both"/>
        <w:rPr>
          <w:rFonts w:ascii="Georgia" w:hAnsi="Georgia" w:cs="Arial"/>
          <w:color w:val="000000"/>
        </w:rPr>
      </w:pPr>
      <w:r w:rsidRPr="00F223CF">
        <w:rPr>
          <w:rFonts w:ascii="Georgia" w:hAnsi="Georgia" w:cs="Arial"/>
          <w:color w:val="000000"/>
        </w:rPr>
        <w:t> </w:t>
      </w:r>
    </w:p>
    <w:p w14:paraId="58379D98" w14:textId="6728E797" w:rsidR="007D434A" w:rsidRPr="00F223CF" w:rsidRDefault="007D434A" w:rsidP="00194354">
      <w:pPr>
        <w:pStyle w:val="yiv4264280208msonormal"/>
        <w:shd w:val="clear" w:color="auto" w:fill="FFFFFF"/>
        <w:spacing w:before="0" w:beforeAutospacing="0" w:after="0" w:afterAutospacing="0"/>
        <w:jc w:val="both"/>
        <w:rPr>
          <w:rFonts w:ascii="Georgia" w:hAnsi="Georgia" w:cs="Arial"/>
          <w:color w:val="000000"/>
        </w:rPr>
      </w:pPr>
      <w:r w:rsidRPr="00F223CF">
        <w:rPr>
          <w:rFonts w:ascii="Georgia" w:hAnsi="Georgia" w:cs="Arial"/>
          <w:color w:val="000000"/>
        </w:rPr>
        <w:t xml:space="preserve">The </w:t>
      </w:r>
      <w:proofErr w:type="spellStart"/>
      <w:r w:rsidRPr="00F223CF">
        <w:rPr>
          <w:rFonts w:ascii="Georgia" w:hAnsi="Georgia" w:cs="Arial"/>
          <w:color w:val="000000"/>
        </w:rPr>
        <w:t>Nanafalia</w:t>
      </w:r>
      <w:proofErr w:type="spellEnd"/>
      <w:r w:rsidRPr="00F223CF">
        <w:rPr>
          <w:rFonts w:ascii="Georgia" w:hAnsi="Georgia" w:cs="Arial"/>
          <w:color w:val="000000"/>
        </w:rPr>
        <w:t xml:space="preserve"> is known to grade </w:t>
      </w:r>
      <w:proofErr w:type="spellStart"/>
      <w:r w:rsidRPr="00F223CF">
        <w:rPr>
          <w:rFonts w:ascii="Georgia" w:hAnsi="Georgia" w:cs="Arial"/>
          <w:color w:val="000000"/>
        </w:rPr>
        <w:t>updip</w:t>
      </w:r>
      <w:proofErr w:type="spellEnd"/>
      <w:r w:rsidRPr="00F223CF">
        <w:rPr>
          <w:rFonts w:ascii="Georgia" w:hAnsi="Georgia" w:cs="Arial"/>
          <w:color w:val="000000"/>
        </w:rPr>
        <w:t xml:space="preserve"> (shoreward), unevenly, into the Baker Hill Formation, a kaolin-bearing formation that is mined for kaolin in Sumter County.  The stratigraphic relationship of the Baker Hill to the kaolinitic Snapp Formation of the Oconee Group in Burke County is unknown because of lack of subsurface control between the westernmost known occurrence of Baker Hill in Laurens County and the Snapp Formation in Burke County.  However, they appear to be two different kaolinitic formations in the same </w:t>
      </w:r>
      <w:r w:rsidRPr="00F223CF">
        <w:rPr>
          <w:rFonts w:ascii="Georgia" w:hAnsi="Georgia" w:cs="Arial"/>
          <w:i/>
          <w:iCs/>
          <w:color w:val="000000"/>
        </w:rPr>
        <w:t>relative</w:t>
      </w:r>
      <w:r w:rsidRPr="00F223CF">
        <w:rPr>
          <w:rFonts w:ascii="Georgia" w:hAnsi="Georgia" w:cs="Arial"/>
          <w:color w:val="000000"/>
        </w:rPr>
        <w:t> stratigraphic position. The Gravel Creek Formation described by Toulmin occurs in the same </w:t>
      </w:r>
      <w:r w:rsidRPr="00F223CF">
        <w:rPr>
          <w:rFonts w:ascii="Georgia" w:hAnsi="Georgia" w:cs="Arial"/>
          <w:i/>
          <w:iCs/>
          <w:color w:val="000000"/>
        </w:rPr>
        <w:t>real</w:t>
      </w:r>
      <w:r w:rsidRPr="00F223CF">
        <w:rPr>
          <w:rFonts w:ascii="Georgia" w:hAnsi="Georgia" w:cs="Arial"/>
          <w:color w:val="000000"/>
        </w:rPr>
        <w:t xml:space="preserve"> stratigraphic position in Alabama as does the Baker Hill Formation in Georgia; it has been described as grading and thinning downdip into the </w:t>
      </w:r>
      <w:proofErr w:type="spellStart"/>
      <w:r w:rsidRPr="00F223CF">
        <w:rPr>
          <w:rFonts w:ascii="Georgia" w:hAnsi="Georgia" w:cs="Arial"/>
          <w:color w:val="000000"/>
        </w:rPr>
        <w:t>Nanafalia</w:t>
      </w:r>
      <w:proofErr w:type="spellEnd"/>
      <w:r w:rsidRPr="00F223CF">
        <w:rPr>
          <w:rFonts w:ascii="Georgia" w:hAnsi="Georgia" w:cs="Arial"/>
          <w:color w:val="000000"/>
        </w:rPr>
        <w:t xml:space="preserve"> Formation.  Toulmin described the Gravel Creek as thin but occurring along the Chattahoochee River </w:t>
      </w:r>
      <w:proofErr w:type="gramStart"/>
      <w:r w:rsidRPr="00F223CF">
        <w:rPr>
          <w:rFonts w:ascii="Georgia" w:hAnsi="Georgia" w:cs="Arial"/>
          <w:color w:val="000000"/>
        </w:rPr>
        <w:t>and also</w:t>
      </w:r>
      <w:proofErr w:type="gramEnd"/>
      <w:r w:rsidRPr="00F223CF">
        <w:rPr>
          <w:rFonts w:ascii="Georgia" w:hAnsi="Georgia" w:cs="Arial"/>
          <w:color w:val="000000"/>
        </w:rPr>
        <w:t xml:space="preserve"> containing white clay that, in Alabama, has been referred to as “bauxite”, and may be kaolin.  It is possible that the Gravel Creek and Baker Hill are continuous; only further studies can elucidate this stratigraphic problem.  The marine </w:t>
      </w:r>
      <w:proofErr w:type="spellStart"/>
      <w:r w:rsidRPr="00F223CF">
        <w:rPr>
          <w:rFonts w:ascii="Georgia" w:hAnsi="Georgia" w:cs="Arial"/>
          <w:color w:val="000000"/>
        </w:rPr>
        <w:t>Nanafalia</w:t>
      </w:r>
      <w:proofErr w:type="spellEnd"/>
      <w:r w:rsidRPr="00F223CF">
        <w:rPr>
          <w:rFonts w:ascii="Georgia" w:hAnsi="Georgia" w:cs="Arial"/>
          <w:color w:val="000000"/>
        </w:rPr>
        <w:t xml:space="preserve"> and </w:t>
      </w:r>
      <w:proofErr w:type="spellStart"/>
      <w:r w:rsidRPr="00F223CF">
        <w:rPr>
          <w:rFonts w:ascii="Georgia" w:hAnsi="Georgia" w:cs="Arial"/>
          <w:color w:val="000000"/>
        </w:rPr>
        <w:t>Tuscahoma</w:t>
      </w:r>
      <w:proofErr w:type="spellEnd"/>
      <w:r w:rsidRPr="00F223CF">
        <w:rPr>
          <w:rFonts w:ascii="Georgia" w:hAnsi="Georgia" w:cs="Arial"/>
          <w:color w:val="000000"/>
        </w:rPr>
        <w:t xml:space="preserve">, as well as the Lower Eocene </w:t>
      </w:r>
      <w:proofErr w:type="spellStart"/>
      <w:r w:rsidRPr="00F223CF">
        <w:rPr>
          <w:rFonts w:ascii="Georgia" w:hAnsi="Georgia" w:cs="Arial"/>
          <w:color w:val="000000"/>
        </w:rPr>
        <w:t>Bashi</w:t>
      </w:r>
      <w:proofErr w:type="spellEnd"/>
      <w:r w:rsidRPr="00F223CF">
        <w:rPr>
          <w:rFonts w:ascii="Georgia" w:hAnsi="Georgia" w:cs="Arial"/>
          <w:color w:val="000000"/>
        </w:rPr>
        <w:t xml:space="preserve"> and </w:t>
      </w:r>
      <w:proofErr w:type="spellStart"/>
      <w:r w:rsidRPr="00F223CF">
        <w:rPr>
          <w:rFonts w:ascii="Georgia" w:hAnsi="Georgia" w:cs="Arial"/>
          <w:color w:val="000000"/>
        </w:rPr>
        <w:t>Hatchetigbee</w:t>
      </w:r>
      <w:proofErr w:type="spellEnd"/>
      <w:r w:rsidRPr="00F223CF">
        <w:rPr>
          <w:rFonts w:ascii="Georgia" w:hAnsi="Georgia" w:cs="Arial"/>
          <w:color w:val="000000"/>
        </w:rPr>
        <w:t xml:space="preserve"> are off lap in Georgia relative to the underlying </w:t>
      </w:r>
      <w:proofErr w:type="spellStart"/>
      <w:r w:rsidRPr="00F223CF">
        <w:rPr>
          <w:rFonts w:ascii="Georgia" w:hAnsi="Georgia" w:cs="Arial"/>
          <w:color w:val="000000"/>
        </w:rPr>
        <w:t>Midwayan</w:t>
      </w:r>
      <w:proofErr w:type="spellEnd"/>
      <w:r w:rsidRPr="00F223CF">
        <w:rPr>
          <w:rFonts w:ascii="Georgia" w:hAnsi="Georgia" w:cs="Arial"/>
          <w:color w:val="000000"/>
        </w:rPr>
        <w:t xml:space="preserve"> formations and overlying </w:t>
      </w:r>
      <w:proofErr w:type="spellStart"/>
      <w:r w:rsidRPr="00F223CF">
        <w:rPr>
          <w:rFonts w:ascii="Georgia" w:hAnsi="Georgia" w:cs="Arial"/>
          <w:color w:val="000000"/>
        </w:rPr>
        <w:t>Claibornian</w:t>
      </w:r>
      <w:proofErr w:type="spellEnd"/>
      <w:r w:rsidRPr="00F223CF">
        <w:rPr>
          <w:rFonts w:ascii="Georgia" w:hAnsi="Georgia" w:cs="Arial"/>
          <w:color w:val="000000"/>
        </w:rPr>
        <w:t xml:space="preserve"> formations.</w:t>
      </w:r>
    </w:p>
    <w:p w14:paraId="68A5BD76" w14:textId="27D612DE" w:rsidR="007D434A" w:rsidRPr="00F223CF" w:rsidRDefault="007D434A" w:rsidP="00194354">
      <w:pPr>
        <w:pStyle w:val="yiv4264280208msonormal"/>
        <w:shd w:val="clear" w:color="auto" w:fill="FFFFFF"/>
        <w:spacing w:before="0" w:beforeAutospacing="0" w:after="0" w:afterAutospacing="0"/>
        <w:jc w:val="both"/>
        <w:rPr>
          <w:rFonts w:ascii="Georgia" w:hAnsi="Georgia" w:cs="Arial"/>
          <w:color w:val="000000"/>
        </w:rPr>
      </w:pPr>
    </w:p>
    <w:p w14:paraId="5A9E89FE" w14:textId="7AB19F23" w:rsidR="000A7DD7" w:rsidRPr="00F223CF" w:rsidRDefault="000A7DD7" w:rsidP="00194354">
      <w:pPr>
        <w:pStyle w:val="yiv4264280208msonormal"/>
        <w:shd w:val="clear" w:color="auto" w:fill="FFFFFF"/>
        <w:spacing w:before="0" w:beforeAutospacing="0" w:after="0" w:afterAutospacing="0"/>
        <w:jc w:val="both"/>
        <w:rPr>
          <w:rFonts w:ascii="Georgia" w:hAnsi="Georgia" w:cs="Arial"/>
          <w:b/>
          <w:bCs/>
          <w:color w:val="000000"/>
        </w:rPr>
      </w:pPr>
      <w:r w:rsidRPr="00F223CF">
        <w:rPr>
          <w:rFonts w:ascii="Georgia" w:hAnsi="Georgia" w:cs="Arial"/>
          <w:b/>
          <w:bCs/>
          <w:color w:val="000000"/>
        </w:rPr>
        <w:t>Middle Paleocene</w:t>
      </w:r>
    </w:p>
    <w:p w14:paraId="396251A0" w14:textId="0EE75596" w:rsidR="007D434A" w:rsidRPr="00F223CF" w:rsidRDefault="007D434A" w:rsidP="00194354">
      <w:pPr>
        <w:pStyle w:val="yiv4264280208msonormal"/>
        <w:shd w:val="clear" w:color="auto" w:fill="FFFFFF"/>
        <w:spacing w:before="0" w:beforeAutospacing="0" w:after="0" w:afterAutospacing="0"/>
        <w:jc w:val="both"/>
        <w:rPr>
          <w:rFonts w:ascii="Georgia" w:hAnsi="Georgia" w:cs="Arial"/>
          <w:color w:val="000000"/>
        </w:rPr>
      </w:pPr>
      <w:r w:rsidRPr="00F223CF">
        <w:rPr>
          <w:rFonts w:ascii="Georgia" w:hAnsi="Georgia" w:cs="Arial"/>
        </w:rPr>
        <w:t xml:space="preserve">Middle Paleocene, upper </w:t>
      </w:r>
      <w:proofErr w:type="spellStart"/>
      <w:r w:rsidRPr="00F223CF">
        <w:rPr>
          <w:rFonts w:ascii="Georgia" w:hAnsi="Georgia" w:cs="Arial"/>
        </w:rPr>
        <w:t>Midwayan</w:t>
      </w:r>
      <w:proofErr w:type="spellEnd"/>
      <w:r w:rsidRPr="00F223CF">
        <w:rPr>
          <w:rFonts w:ascii="Georgia" w:hAnsi="Georgia" w:cs="Arial"/>
        </w:rPr>
        <w:t xml:space="preserve">, </w:t>
      </w:r>
      <w:proofErr w:type="spellStart"/>
      <w:r w:rsidRPr="00F223CF">
        <w:rPr>
          <w:rFonts w:ascii="Georgia" w:hAnsi="Georgia" w:cs="Arial"/>
        </w:rPr>
        <w:t>Selandian</w:t>
      </w:r>
      <w:proofErr w:type="spellEnd"/>
      <w:r w:rsidRPr="00F223CF">
        <w:rPr>
          <w:rFonts w:ascii="Georgia" w:hAnsi="Georgia" w:cs="Arial"/>
        </w:rPr>
        <w:t xml:space="preserve"> has not, hitherto, been recognized in Georgia.  This includes the stratigraphic equivalents of typical Porters Creek Clay and </w:t>
      </w:r>
      <w:proofErr w:type="spellStart"/>
      <w:r w:rsidRPr="00F223CF">
        <w:rPr>
          <w:rFonts w:ascii="Georgia" w:hAnsi="Georgia" w:cs="Arial"/>
        </w:rPr>
        <w:t>Naheola</w:t>
      </w:r>
      <w:proofErr w:type="spellEnd"/>
      <w:r w:rsidRPr="00F223CF">
        <w:rPr>
          <w:rFonts w:ascii="Georgia" w:hAnsi="Georgia" w:cs="Arial"/>
        </w:rPr>
        <w:t xml:space="preserve"> Formation of western Alabama.  In the Albany core, there is an upper part of the </w:t>
      </w:r>
      <w:proofErr w:type="spellStart"/>
      <w:r w:rsidRPr="00F223CF">
        <w:rPr>
          <w:rFonts w:ascii="Georgia" w:hAnsi="Georgia" w:cs="Arial"/>
        </w:rPr>
        <w:t>Midwayan</w:t>
      </w:r>
      <w:proofErr w:type="spellEnd"/>
      <w:r w:rsidRPr="00F223CF">
        <w:rPr>
          <w:rFonts w:ascii="Georgia" w:hAnsi="Georgia" w:cs="Arial"/>
        </w:rPr>
        <w:t xml:space="preserve"> “Clayton” that appears to dis</w:t>
      </w:r>
      <w:r w:rsidR="006D433A" w:rsidRPr="00F223CF">
        <w:rPr>
          <w:rFonts w:ascii="Georgia" w:hAnsi="Georgia" w:cs="Arial"/>
        </w:rPr>
        <w:t>-</w:t>
      </w:r>
      <w:r w:rsidRPr="00F223CF">
        <w:rPr>
          <w:rFonts w:ascii="Georgia" w:hAnsi="Georgia" w:cs="Arial"/>
        </w:rPr>
        <w:t xml:space="preserve">conformably overlie the basal Clayton with a distinctly different sand lithology.  This “upper Clayton” underlies the </w:t>
      </w:r>
      <w:proofErr w:type="spellStart"/>
      <w:r w:rsidRPr="00F223CF">
        <w:rPr>
          <w:rFonts w:ascii="Georgia" w:hAnsi="Georgia" w:cs="Arial"/>
        </w:rPr>
        <w:t>Nanafalia</w:t>
      </w:r>
      <w:proofErr w:type="spellEnd"/>
      <w:r w:rsidRPr="00F223CF">
        <w:rPr>
          <w:rFonts w:ascii="Georgia" w:hAnsi="Georgia" w:cs="Arial"/>
        </w:rPr>
        <w:t xml:space="preserve"> Formation dis</w:t>
      </w:r>
      <w:r w:rsidR="006D433A" w:rsidRPr="00F223CF">
        <w:rPr>
          <w:rFonts w:ascii="Georgia" w:hAnsi="Georgia" w:cs="Arial"/>
        </w:rPr>
        <w:t>-</w:t>
      </w:r>
      <w:r w:rsidRPr="00F223CF">
        <w:rPr>
          <w:rFonts w:ascii="Georgia" w:hAnsi="Georgia" w:cs="Arial"/>
        </w:rPr>
        <w:t>conformably and, therefore, is possibly Porters Creek/</w:t>
      </w:r>
      <w:proofErr w:type="spellStart"/>
      <w:r w:rsidRPr="00F223CF">
        <w:rPr>
          <w:rFonts w:ascii="Georgia" w:hAnsi="Georgia" w:cs="Arial"/>
        </w:rPr>
        <w:t>Naheola</w:t>
      </w:r>
      <w:proofErr w:type="spellEnd"/>
      <w:r w:rsidRPr="00F223CF">
        <w:rPr>
          <w:rFonts w:ascii="Georgia" w:hAnsi="Georgia" w:cs="Arial"/>
        </w:rPr>
        <w:t>-equivalent.  The planktonic foraminiferal assemblage is too sparse for bio</w:t>
      </w:r>
      <w:r w:rsidR="00D81871" w:rsidRPr="00F223CF">
        <w:rPr>
          <w:rFonts w:ascii="Georgia" w:hAnsi="Georgia" w:cs="Arial"/>
        </w:rPr>
        <w:t>-</w:t>
      </w:r>
      <w:r w:rsidRPr="00F223CF">
        <w:rPr>
          <w:rFonts w:ascii="Georgia" w:hAnsi="Georgia" w:cs="Arial"/>
        </w:rPr>
        <w:t>stratigraphic purposes and for one to be confident in the </w:t>
      </w:r>
      <w:r w:rsidRPr="00F223CF">
        <w:rPr>
          <w:rFonts w:ascii="Georgia" w:hAnsi="Georgia" w:cs="Arial"/>
          <w:i/>
          <w:iCs/>
        </w:rPr>
        <w:t>real</w:t>
      </w:r>
      <w:r w:rsidRPr="00F223CF">
        <w:rPr>
          <w:rFonts w:ascii="Georgia" w:hAnsi="Georgia" w:cs="Arial"/>
        </w:rPr>
        <w:t xml:space="preserve"> stratigraphic position of the interval.  The only other possible upper </w:t>
      </w:r>
      <w:proofErr w:type="spellStart"/>
      <w:r w:rsidRPr="00F223CF">
        <w:rPr>
          <w:rFonts w:ascii="Georgia" w:hAnsi="Georgia" w:cs="Arial"/>
        </w:rPr>
        <w:t>Midwayan</w:t>
      </w:r>
      <w:proofErr w:type="spellEnd"/>
      <w:r w:rsidRPr="00F223CF">
        <w:rPr>
          <w:rFonts w:ascii="Georgia" w:hAnsi="Georgia" w:cs="Arial"/>
        </w:rPr>
        <w:t xml:space="preserve">, </w:t>
      </w:r>
      <w:proofErr w:type="spellStart"/>
      <w:r w:rsidRPr="00F223CF">
        <w:rPr>
          <w:rFonts w:ascii="Georgia" w:hAnsi="Georgia" w:cs="Arial"/>
        </w:rPr>
        <w:t>Naheola</w:t>
      </w:r>
      <w:proofErr w:type="spellEnd"/>
      <w:r w:rsidRPr="00F223CF">
        <w:rPr>
          <w:rFonts w:ascii="Georgia" w:hAnsi="Georgia" w:cs="Arial"/>
        </w:rPr>
        <w:t xml:space="preserve">/Porters Creek-equivalents so far detected occur in Intervals 10 and 11 in the </w:t>
      </w:r>
      <w:proofErr w:type="spellStart"/>
      <w:r w:rsidRPr="00F223CF">
        <w:rPr>
          <w:rFonts w:ascii="Georgia" w:hAnsi="Georgia" w:cs="Arial"/>
        </w:rPr>
        <w:t>Pineora</w:t>
      </w:r>
      <w:proofErr w:type="spellEnd"/>
      <w:r w:rsidRPr="00F223CF">
        <w:rPr>
          <w:rFonts w:ascii="Georgia" w:hAnsi="Georgia" w:cs="Arial"/>
        </w:rPr>
        <w:t xml:space="preserve"> core and in Interval 11 in the Davis-Hopkins core.  If these correlations are correct, this would indicate that the upper </w:t>
      </w:r>
      <w:proofErr w:type="spellStart"/>
      <w:r w:rsidRPr="00F223CF">
        <w:rPr>
          <w:rFonts w:ascii="Georgia" w:hAnsi="Georgia" w:cs="Arial"/>
        </w:rPr>
        <w:t>Midwayan</w:t>
      </w:r>
      <w:proofErr w:type="spellEnd"/>
      <w:r w:rsidRPr="00F223CF">
        <w:rPr>
          <w:rFonts w:ascii="Georgia" w:hAnsi="Georgia" w:cs="Arial"/>
        </w:rPr>
        <w:t xml:space="preserve"> is offlap to both the underlying Clayton Formation and the overlying </w:t>
      </w:r>
      <w:proofErr w:type="spellStart"/>
      <w:r w:rsidRPr="00F223CF">
        <w:rPr>
          <w:rFonts w:ascii="Georgia" w:hAnsi="Georgia" w:cs="Arial"/>
        </w:rPr>
        <w:t>Nanafalia</w:t>
      </w:r>
      <w:proofErr w:type="spellEnd"/>
      <w:r w:rsidRPr="00F223CF">
        <w:rPr>
          <w:rFonts w:ascii="Georgia" w:hAnsi="Georgia" w:cs="Arial"/>
        </w:rPr>
        <w:t xml:space="preserve"> Formation.                                                                                                                                                                                                                                                                                      </w:t>
      </w:r>
    </w:p>
    <w:p w14:paraId="0BE24756" w14:textId="2B922851" w:rsidR="007D434A" w:rsidRPr="00F223CF" w:rsidRDefault="00D81871" w:rsidP="00194354">
      <w:pPr>
        <w:pStyle w:val="yiv4264280208msonormal"/>
        <w:shd w:val="clear" w:color="auto" w:fill="FFFFFF"/>
        <w:spacing w:before="0" w:beforeAutospacing="0" w:after="0" w:afterAutospacing="0"/>
        <w:jc w:val="both"/>
        <w:rPr>
          <w:rFonts w:ascii="Georgia" w:hAnsi="Georgia" w:cs="Arial"/>
          <w:b/>
          <w:bCs/>
          <w:color w:val="000000"/>
        </w:rPr>
      </w:pPr>
      <w:r w:rsidRPr="00F223CF">
        <w:rPr>
          <w:rFonts w:ascii="Georgia" w:hAnsi="Georgia" w:cs="Arial"/>
          <w:b/>
          <w:bCs/>
          <w:color w:val="000000"/>
        </w:rPr>
        <w:t>Lower Paleocene</w:t>
      </w:r>
    </w:p>
    <w:p w14:paraId="102F6827" w14:textId="77777777" w:rsidR="00CB2D86" w:rsidRPr="00F223CF" w:rsidRDefault="007D434A" w:rsidP="00194354">
      <w:pPr>
        <w:pStyle w:val="yiv4264280208msonormal"/>
        <w:shd w:val="clear" w:color="auto" w:fill="FFFFFF"/>
        <w:spacing w:before="0" w:beforeAutospacing="0" w:after="0" w:afterAutospacing="0"/>
        <w:jc w:val="both"/>
        <w:rPr>
          <w:rFonts w:ascii="Georgia" w:hAnsi="Georgia" w:cs="Arial"/>
          <w:color w:val="000000"/>
        </w:rPr>
      </w:pPr>
      <w:r w:rsidRPr="00F223CF">
        <w:rPr>
          <w:rFonts w:ascii="Georgia" w:hAnsi="Georgia" w:cs="Arial"/>
          <w:color w:val="000000"/>
        </w:rPr>
        <w:t xml:space="preserve">The Lower Paleocene, </w:t>
      </w:r>
      <w:proofErr w:type="spellStart"/>
      <w:r w:rsidRPr="00F223CF">
        <w:rPr>
          <w:rFonts w:ascii="Georgia" w:hAnsi="Georgia" w:cs="Arial"/>
          <w:color w:val="000000"/>
        </w:rPr>
        <w:t>Midwayan</w:t>
      </w:r>
      <w:proofErr w:type="spellEnd"/>
      <w:r w:rsidRPr="00F223CF">
        <w:rPr>
          <w:rFonts w:ascii="Georgia" w:hAnsi="Georgia" w:cs="Arial"/>
          <w:color w:val="000000"/>
        </w:rPr>
        <w:t>, Clayton Formation and equivalents are the only representative of the earliest Paleocene in the Georgia Coastal Plain outcrop belt and is the first formation deposited after the Cretaceous extinctions. </w:t>
      </w:r>
    </w:p>
    <w:p w14:paraId="00AF79A8" w14:textId="66DADF52" w:rsidR="00CB2D86" w:rsidRPr="00F223CF" w:rsidRDefault="00CB2D86" w:rsidP="00194354">
      <w:pPr>
        <w:pStyle w:val="yiv4264280208msonormal"/>
        <w:shd w:val="clear" w:color="auto" w:fill="FFFFFF"/>
        <w:spacing w:before="0" w:beforeAutospacing="0" w:after="0" w:afterAutospacing="0"/>
        <w:jc w:val="both"/>
        <w:rPr>
          <w:rFonts w:ascii="Georgia" w:hAnsi="Georgia" w:cs="Arial"/>
          <w:color w:val="000000"/>
        </w:rPr>
      </w:pPr>
    </w:p>
    <w:p w14:paraId="75B63CF4" w14:textId="5F06DFEE" w:rsidR="00CB2D86" w:rsidRPr="00F223CF" w:rsidRDefault="00CB2D86" w:rsidP="00194354">
      <w:pPr>
        <w:pStyle w:val="yiv4264280208msonormal"/>
        <w:shd w:val="clear" w:color="auto" w:fill="FFFFFF"/>
        <w:spacing w:before="0" w:beforeAutospacing="0" w:after="0" w:afterAutospacing="0"/>
        <w:jc w:val="both"/>
        <w:rPr>
          <w:rFonts w:ascii="Georgia" w:hAnsi="Georgia" w:cs="Arial"/>
          <w:b/>
          <w:bCs/>
          <w:color w:val="000000"/>
        </w:rPr>
      </w:pPr>
      <w:r w:rsidRPr="00F223CF">
        <w:rPr>
          <w:rFonts w:ascii="Georgia" w:hAnsi="Georgia" w:cs="Arial"/>
          <w:b/>
          <w:bCs/>
          <w:color w:val="000000"/>
        </w:rPr>
        <w:t>Clayton Formation</w:t>
      </w:r>
    </w:p>
    <w:p w14:paraId="02D76A6A" w14:textId="113DE921" w:rsidR="007D434A" w:rsidRPr="00F223CF" w:rsidRDefault="007D434A" w:rsidP="00194354">
      <w:pPr>
        <w:pStyle w:val="yiv4264280208msonormal"/>
        <w:shd w:val="clear" w:color="auto" w:fill="FFFFFF"/>
        <w:spacing w:before="0" w:beforeAutospacing="0" w:after="0" w:afterAutospacing="0"/>
        <w:jc w:val="both"/>
        <w:rPr>
          <w:rFonts w:ascii="Georgia" w:hAnsi="Georgia" w:cs="Arial"/>
          <w:color w:val="000000"/>
        </w:rPr>
      </w:pPr>
      <w:r w:rsidRPr="00F223CF">
        <w:rPr>
          <w:rFonts w:ascii="Georgia" w:hAnsi="Georgia" w:cs="Arial"/>
          <w:color w:val="000000"/>
        </w:rPr>
        <w:lastRenderedPageBreak/>
        <w:t xml:space="preserve">The lithology of the Clayton is quite variable across Alabama and Georgia, in different areas or different sites it may be represented by sands, clays, marls, and limestones; or </w:t>
      </w:r>
      <w:proofErr w:type="gramStart"/>
      <w:r w:rsidRPr="00F223CF">
        <w:rPr>
          <w:rFonts w:ascii="Georgia" w:hAnsi="Georgia" w:cs="Arial"/>
          <w:color w:val="000000"/>
        </w:rPr>
        <w:t>all of</w:t>
      </w:r>
      <w:proofErr w:type="gramEnd"/>
      <w:r w:rsidRPr="00F223CF">
        <w:rPr>
          <w:rFonts w:ascii="Georgia" w:hAnsi="Georgia" w:cs="Arial"/>
          <w:color w:val="000000"/>
        </w:rPr>
        <w:t xml:space="preserve"> the above.  The Clayton is only exposed in the western part of Georgia, from the vicinity of the Flint River westward. In the Fort Valley area, the Clayton Formation grades laterally </w:t>
      </w:r>
      <w:proofErr w:type="spellStart"/>
      <w:r w:rsidRPr="00F223CF">
        <w:rPr>
          <w:rFonts w:ascii="Georgia" w:hAnsi="Georgia" w:cs="Arial"/>
          <w:color w:val="000000"/>
        </w:rPr>
        <w:t>updip</w:t>
      </w:r>
      <w:proofErr w:type="spellEnd"/>
      <w:r w:rsidRPr="00F223CF">
        <w:rPr>
          <w:rFonts w:ascii="Georgia" w:hAnsi="Georgia" w:cs="Arial"/>
          <w:color w:val="000000"/>
        </w:rPr>
        <w:t xml:space="preserve"> and coastward into the coastal marine, shoreface and kaolinitic lithofacies of the Marshallville Formation.  The Marshallville appears to extend across Georgia through</w:t>
      </w:r>
      <w:r w:rsidR="006B3997" w:rsidRPr="00F223CF">
        <w:rPr>
          <w:rFonts w:ascii="Georgia" w:hAnsi="Georgia" w:cs="Arial"/>
          <w:color w:val="000000"/>
        </w:rPr>
        <w:t xml:space="preserve"> </w:t>
      </w:r>
      <w:r w:rsidRPr="00F223CF">
        <w:rPr>
          <w:rFonts w:ascii="Georgia" w:hAnsi="Georgia" w:cs="Arial"/>
          <w:color w:val="000000"/>
        </w:rPr>
        <w:t xml:space="preserve">Twiggs, Wilkinson and Laurens Counties to Richmond County, and grades downdip in southern Richmond County into the Clayton Formation in Burke County.  The Clayton Formation in Burke County has been referred to in the past as Ellenton Formation by </w:t>
      </w:r>
      <w:proofErr w:type="spellStart"/>
      <w:r w:rsidRPr="00F223CF">
        <w:rPr>
          <w:rFonts w:ascii="Georgia" w:hAnsi="Georgia" w:cs="Arial"/>
          <w:color w:val="000000"/>
        </w:rPr>
        <w:t>Siple</w:t>
      </w:r>
      <w:proofErr w:type="spellEnd"/>
      <w:r w:rsidRPr="00F223CF">
        <w:rPr>
          <w:rFonts w:ascii="Georgia" w:hAnsi="Georgia" w:cs="Arial"/>
          <w:color w:val="000000"/>
        </w:rPr>
        <w:t xml:space="preserve"> and others, and to the Black Mingo Formation by </w:t>
      </w:r>
      <w:proofErr w:type="spellStart"/>
      <w:r w:rsidRPr="00F223CF">
        <w:rPr>
          <w:rFonts w:ascii="Georgia" w:hAnsi="Georgia" w:cs="Arial"/>
          <w:color w:val="000000"/>
        </w:rPr>
        <w:t>Huddlestun</w:t>
      </w:r>
      <w:proofErr w:type="spellEnd"/>
      <w:r w:rsidRPr="00F223CF">
        <w:rPr>
          <w:rFonts w:ascii="Georgia" w:hAnsi="Georgia" w:cs="Arial"/>
          <w:color w:val="000000"/>
        </w:rPr>
        <w:t xml:space="preserve"> in 1996.  </w:t>
      </w:r>
      <w:proofErr w:type="spellStart"/>
      <w:r w:rsidRPr="00F223CF">
        <w:rPr>
          <w:rFonts w:ascii="Georgia" w:hAnsi="Georgia" w:cs="Arial"/>
          <w:color w:val="000000"/>
        </w:rPr>
        <w:t>Huddlestun</w:t>
      </w:r>
      <w:proofErr w:type="spellEnd"/>
      <w:r w:rsidRPr="00F223CF">
        <w:rPr>
          <w:rFonts w:ascii="Georgia" w:hAnsi="Georgia" w:cs="Arial"/>
          <w:color w:val="000000"/>
        </w:rPr>
        <w:t xml:space="preserve"> (1996) referred the Clayton to the Black Mingo in Burke County based on Burke County’s proximity to the </w:t>
      </w:r>
      <w:proofErr w:type="gramStart"/>
      <w:r w:rsidRPr="00F223CF">
        <w:rPr>
          <w:rFonts w:ascii="Georgia" w:hAnsi="Georgia" w:cs="Arial"/>
          <w:color w:val="000000"/>
        </w:rPr>
        <w:t>type</w:t>
      </w:r>
      <w:proofErr w:type="gramEnd"/>
      <w:r w:rsidRPr="00F223CF">
        <w:rPr>
          <w:rFonts w:ascii="Georgia" w:hAnsi="Georgia" w:cs="Arial"/>
          <w:color w:val="000000"/>
        </w:rPr>
        <w:t xml:space="preserve"> area of the Black Mingo Formation in South Carolina.  The closest known occurrence of the Clayton Formation to the Savannah River area in Georgia is in Houston County.  Based strictly on lithology, the Ellenton/Black Mingo lithology of Burke County is easily within the sphere of the known lithologies of the Clayton Formation of western Georgia and Alabama and, for simplicity, the lowest </w:t>
      </w:r>
      <w:proofErr w:type="spellStart"/>
      <w:r w:rsidRPr="00F223CF">
        <w:rPr>
          <w:rFonts w:ascii="Georgia" w:hAnsi="Georgia" w:cs="Arial"/>
          <w:color w:val="000000"/>
        </w:rPr>
        <w:t>Midwayan</w:t>
      </w:r>
      <w:proofErr w:type="spellEnd"/>
      <w:r w:rsidRPr="00F223CF">
        <w:rPr>
          <w:rFonts w:ascii="Georgia" w:hAnsi="Georgia" w:cs="Arial"/>
          <w:color w:val="000000"/>
        </w:rPr>
        <w:t xml:space="preserve"> deposit in Burke County is placed in the Clayton Formation here (for a detailed description of the Clayton Formation in Burke County, see </w:t>
      </w:r>
      <w:proofErr w:type="spellStart"/>
      <w:r w:rsidRPr="00F223CF">
        <w:rPr>
          <w:rFonts w:ascii="Georgia" w:hAnsi="Georgia" w:cs="Arial"/>
          <w:color w:val="000000"/>
        </w:rPr>
        <w:t>Huddlestun</w:t>
      </w:r>
      <w:proofErr w:type="spellEnd"/>
      <w:r w:rsidRPr="00F223CF">
        <w:rPr>
          <w:rFonts w:ascii="Georgia" w:hAnsi="Georgia" w:cs="Arial"/>
          <w:color w:val="000000"/>
        </w:rPr>
        <w:t>, 1996, Bulletin 127 of the GGS).</w:t>
      </w:r>
    </w:p>
    <w:p w14:paraId="1D1A1284" w14:textId="77777777" w:rsidR="007D434A" w:rsidRPr="00F223CF" w:rsidRDefault="007D434A" w:rsidP="00194354">
      <w:pPr>
        <w:pStyle w:val="yiv4264280208msonormal"/>
        <w:shd w:val="clear" w:color="auto" w:fill="FFFFFF"/>
        <w:spacing w:before="0" w:beforeAutospacing="0" w:after="0" w:afterAutospacing="0"/>
        <w:jc w:val="both"/>
        <w:rPr>
          <w:rFonts w:ascii="Georgia" w:hAnsi="Georgia" w:cs="Arial"/>
          <w:color w:val="000000"/>
        </w:rPr>
      </w:pPr>
      <w:r w:rsidRPr="00F223CF">
        <w:rPr>
          <w:rFonts w:ascii="Georgia" w:hAnsi="Georgia" w:cs="Arial"/>
          <w:color w:val="000000"/>
        </w:rPr>
        <w:t> </w:t>
      </w:r>
    </w:p>
    <w:p w14:paraId="0C4519AA" w14:textId="77777777" w:rsidR="007D434A" w:rsidRPr="00F223CF" w:rsidRDefault="007D434A" w:rsidP="00194354">
      <w:pPr>
        <w:pStyle w:val="yiv4264280208msonormal"/>
        <w:shd w:val="clear" w:color="auto" w:fill="FFFFFF"/>
        <w:spacing w:before="0" w:beforeAutospacing="0" w:after="0" w:afterAutospacing="0"/>
        <w:jc w:val="both"/>
        <w:rPr>
          <w:rFonts w:ascii="Georgia" w:hAnsi="Georgia" w:cs="Arial"/>
          <w:color w:val="000000"/>
        </w:rPr>
      </w:pPr>
      <w:r w:rsidRPr="00F223CF">
        <w:rPr>
          <w:rFonts w:ascii="Georgia" w:hAnsi="Georgia" w:cs="Arial"/>
          <w:color w:val="000000"/>
        </w:rPr>
        <w:t xml:space="preserve">In the </w:t>
      </w:r>
      <w:proofErr w:type="spellStart"/>
      <w:r w:rsidRPr="00F223CF">
        <w:rPr>
          <w:rFonts w:ascii="Georgia" w:hAnsi="Georgia" w:cs="Arial"/>
          <w:color w:val="000000"/>
        </w:rPr>
        <w:t>updip</w:t>
      </w:r>
      <w:proofErr w:type="spellEnd"/>
      <w:r w:rsidRPr="00F223CF">
        <w:rPr>
          <w:rFonts w:ascii="Georgia" w:hAnsi="Georgia" w:cs="Arial"/>
          <w:color w:val="000000"/>
        </w:rPr>
        <w:t xml:space="preserve"> area of the Clayton Formation in the Fort Valley area, in Houston County, and in northern Sumter County, the Clayton Formation is very largely a noncalcareous clay and locally contains variable amounts of sand beds and </w:t>
      </w:r>
      <w:proofErr w:type="spellStart"/>
      <w:r w:rsidRPr="00F223CF">
        <w:rPr>
          <w:rFonts w:ascii="Georgia" w:hAnsi="Georgia" w:cs="Arial"/>
          <w:color w:val="000000"/>
        </w:rPr>
        <w:t>lignitic</w:t>
      </w:r>
      <w:proofErr w:type="spellEnd"/>
      <w:r w:rsidRPr="00F223CF">
        <w:rPr>
          <w:rFonts w:ascii="Georgia" w:hAnsi="Georgia" w:cs="Arial"/>
          <w:color w:val="000000"/>
        </w:rPr>
        <w:t xml:space="preserve"> fragments; the clay of the Clayton resembling the lithology of the Porters Creek Formation of Alabama.  Farther south </w:t>
      </w:r>
      <w:proofErr w:type="gramStart"/>
      <w:r w:rsidRPr="00F223CF">
        <w:rPr>
          <w:rFonts w:ascii="Georgia" w:hAnsi="Georgia" w:cs="Arial"/>
          <w:color w:val="000000"/>
        </w:rPr>
        <w:t>and  downdip</w:t>
      </w:r>
      <w:proofErr w:type="gramEnd"/>
      <w:r w:rsidRPr="00F223CF">
        <w:rPr>
          <w:rFonts w:ascii="Georgia" w:hAnsi="Georgia" w:cs="Arial"/>
          <w:color w:val="000000"/>
        </w:rPr>
        <w:t xml:space="preserve">, the formation becomes more sandy and calcareous with unpredictable proportions of marl, sand, clay and limestone beds at any particular site.  Continuing downdip, the formation becomes more calcareous with a higher proportion or dominance of limestone beds.  In both the </w:t>
      </w:r>
      <w:proofErr w:type="spellStart"/>
      <w:r w:rsidRPr="00F223CF">
        <w:rPr>
          <w:rFonts w:ascii="Georgia" w:hAnsi="Georgia" w:cs="Arial"/>
          <w:color w:val="000000"/>
        </w:rPr>
        <w:t>Pineora</w:t>
      </w:r>
      <w:proofErr w:type="spellEnd"/>
      <w:r w:rsidRPr="00F223CF">
        <w:rPr>
          <w:rFonts w:ascii="Georgia" w:hAnsi="Georgia" w:cs="Arial"/>
          <w:color w:val="000000"/>
        </w:rPr>
        <w:t xml:space="preserve"> and Davis-Hopkins cores, the Clayton-equivalent intervals consist of limestone, sandy limestone, and calcareous sand with a domination of limestone.</w:t>
      </w:r>
    </w:p>
    <w:p w14:paraId="13E18422" w14:textId="77777777" w:rsidR="009D1D81" w:rsidRPr="00F223CF" w:rsidRDefault="009D1D81" w:rsidP="00194354">
      <w:pPr>
        <w:pStyle w:val="yiv4264280208msonormal"/>
        <w:shd w:val="clear" w:color="auto" w:fill="FFFFFF"/>
        <w:spacing w:before="0" w:beforeAutospacing="0" w:after="0" w:afterAutospacing="0"/>
        <w:jc w:val="both"/>
        <w:rPr>
          <w:rFonts w:ascii="Georgia" w:hAnsi="Georgia" w:cs="Arial"/>
          <w:color w:val="000000"/>
        </w:rPr>
      </w:pPr>
    </w:p>
    <w:p w14:paraId="51F652B8" w14:textId="75698942" w:rsidR="007D434A" w:rsidRPr="00F223CF" w:rsidRDefault="009D1D81" w:rsidP="00194354">
      <w:pPr>
        <w:pStyle w:val="yiv4264280208msonormal"/>
        <w:shd w:val="clear" w:color="auto" w:fill="FFFFFF"/>
        <w:spacing w:before="0" w:beforeAutospacing="0" w:after="0" w:afterAutospacing="0"/>
        <w:jc w:val="both"/>
        <w:rPr>
          <w:rFonts w:ascii="Georgia" w:hAnsi="Georgia" w:cs="Arial"/>
          <w:b/>
          <w:bCs/>
          <w:color w:val="000000"/>
        </w:rPr>
      </w:pPr>
      <w:r w:rsidRPr="00F223CF">
        <w:rPr>
          <w:rFonts w:ascii="Georgia" w:hAnsi="Georgia" w:cs="Arial"/>
          <w:b/>
          <w:bCs/>
          <w:color w:val="000000"/>
        </w:rPr>
        <w:t>Midway Formation</w:t>
      </w:r>
      <w:r w:rsidR="007D434A" w:rsidRPr="00F223CF">
        <w:rPr>
          <w:rFonts w:ascii="Georgia" w:hAnsi="Georgia" w:cs="Arial"/>
          <w:b/>
          <w:bCs/>
          <w:color w:val="000000"/>
        </w:rPr>
        <w:t> </w:t>
      </w:r>
    </w:p>
    <w:p w14:paraId="71D02D04" w14:textId="77777777" w:rsidR="007D434A" w:rsidRPr="00F223CF" w:rsidRDefault="007D434A" w:rsidP="00194354">
      <w:pPr>
        <w:pStyle w:val="yiv4264280208msonormal"/>
        <w:shd w:val="clear" w:color="auto" w:fill="FFFFFF"/>
        <w:spacing w:before="0" w:beforeAutospacing="0" w:after="0" w:afterAutospacing="0"/>
        <w:jc w:val="both"/>
        <w:rPr>
          <w:rFonts w:ascii="Georgia" w:hAnsi="Georgia" w:cs="Arial"/>
          <w:color w:val="000000"/>
        </w:rPr>
      </w:pPr>
      <w:r w:rsidRPr="00F223CF">
        <w:rPr>
          <w:rFonts w:ascii="Georgia" w:hAnsi="Georgia" w:cs="Arial"/>
          <w:color w:val="000000"/>
        </w:rPr>
        <w:t xml:space="preserve">Concerning the lithostratigraphic terminology of the lower Midway, </w:t>
      </w:r>
      <w:proofErr w:type="spellStart"/>
      <w:r w:rsidRPr="00F223CF">
        <w:rPr>
          <w:rFonts w:ascii="Georgia" w:hAnsi="Georgia" w:cs="Arial"/>
          <w:color w:val="000000"/>
        </w:rPr>
        <w:t>Huddlestun</w:t>
      </w:r>
      <w:proofErr w:type="spellEnd"/>
      <w:r w:rsidRPr="00F223CF">
        <w:rPr>
          <w:rFonts w:ascii="Georgia" w:hAnsi="Georgia" w:cs="Arial"/>
          <w:color w:val="000000"/>
        </w:rPr>
        <w:t xml:space="preserve"> in 1991 proposed </w:t>
      </w:r>
      <w:proofErr w:type="gramStart"/>
      <w:r w:rsidRPr="00F223CF">
        <w:rPr>
          <w:rFonts w:ascii="Georgia" w:hAnsi="Georgia" w:cs="Arial"/>
          <w:color w:val="000000"/>
        </w:rPr>
        <w:t>a number of</w:t>
      </w:r>
      <w:proofErr w:type="gramEnd"/>
      <w:r w:rsidRPr="00F223CF">
        <w:rPr>
          <w:rFonts w:ascii="Georgia" w:hAnsi="Georgia" w:cs="Arial"/>
          <w:color w:val="000000"/>
        </w:rPr>
        <w:t xml:space="preserve"> new lithostratigraphic units in the Fort Valley area.  One of them, the Fort Valley Group, was very closely related to the lithologies of the kaolin-bearing Oconee Group.  The stratigraphic distinction was that the Oconee Group stratigraphic units were characterized by fining upward sequences and displayed no marine, </w:t>
      </w:r>
      <w:proofErr w:type="gramStart"/>
      <w:r w:rsidRPr="00F223CF">
        <w:rPr>
          <w:rFonts w:ascii="Georgia" w:hAnsi="Georgia" w:cs="Arial"/>
          <w:color w:val="000000"/>
        </w:rPr>
        <w:t>lithic  characteristics</w:t>
      </w:r>
      <w:proofErr w:type="gramEnd"/>
      <w:r w:rsidRPr="00F223CF">
        <w:rPr>
          <w:rFonts w:ascii="Georgia" w:hAnsi="Georgia" w:cs="Arial"/>
          <w:color w:val="000000"/>
        </w:rPr>
        <w:t xml:space="preserve">.  The Fort Valley Group, on the other hand, did not display appreciable fining upward sequences but displayed coastal marine characteristics such as herring bone crossbedding that is of tidal origin.  Other than that, the two groups were </w:t>
      </w:r>
      <w:proofErr w:type="spellStart"/>
      <w:r w:rsidRPr="00F223CF">
        <w:rPr>
          <w:rFonts w:ascii="Georgia" w:hAnsi="Georgia" w:cs="Arial"/>
          <w:color w:val="000000"/>
        </w:rPr>
        <w:t>lithologically</w:t>
      </w:r>
      <w:proofErr w:type="spellEnd"/>
      <w:r w:rsidRPr="00F223CF">
        <w:rPr>
          <w:rFonts w:ascii="Georgia" w:hAnsi="Georgia" w:cs="Arial"/>
          <w:color w:val="000000"/>
        </w:rPr>
        <w:t xml:space="preserve"> similar enough that unpracticed geologists and non-professional people could have trouble in discriminating between the two groups.  Later, it became apparent </w:t>
      </w:r>
      <w:r w:rsidRPr="00F223CF">
        <w:rPr>
          <w:rFonts w:ascii="Georgia" w:hAnsi="Georgia" w:cs="Arial"/>
          <w:color w:val="000000"/>
        </w:rPr>
        <w:lastRenderedPageBreak/>
        <w:t>that I was unable to differentiate the two groups in </w:t>
      </w:r>
      <w:r w:rsidRPr="00F223CF">
        <w:rPr>
          <w:rFonts w:ascii="Georgia" w:hAnsi="Georgia" w:cs="Arial"/>
          <w:i/>
          <w:iCs/>
          <w:color w:val="000000"/>
        </w:rPr>
        <w:t>cores</w:t>
      </w:r>
      <w:r w:rsidRPr="00F223CF">
        <w:rPr>
          <w:rFonts w:ascii="Georgia" w:hAnsi="Georgia" w:cs="Arial"/>
          <w:color w:val="000000"/>
        </w:rPr>
        <w:t xml:space="preserve"> and, therefore, the lithic distinctions of the two groups </w:t>
      </w:r>
      <w:proofErr w:type="gramStart"/>
      <w:r w:rsidRPr="00F223CF">
        <w:rPr>
          <w:rFonts w:ascii="Georgia" w:hAnsi="Georgia" w:cs="Arial"/>
          <w:color w:val="000000"/>
        </w:rPr>
        <w:t>was</w:t>
      </w:r>
      <w:proofErr w:type="gramEnd"/>
      <w:r w:rsidRPr="00F223CF">
        <w:rPr>
          <w:rFonts w:ascii="Georgia" w:hAnsi="Georgia" w:cs="Arial"/>
          <w:color w:val="000000"/>
        </w:rPr>
        <w:t xml:space="preserve"> invalid, null and void.  In that case, the primary group is the Oconee Group which must include the </w:t>
      </w:r>
      <w:proofErr w:type="spellStart"/>
      <w:r w:rsidRPr="00F223CF">
        <w:rPr>
          <w:rFonts w:ascii="Georgia" w:hAnsi="Georgia" w:cs="Arial"/>
          <w:color w:val="000000"/>
        </w:rPr>
        <w:t>kaolins</w:t>
      </w:r>
      <w:proofErr w:type="spellEnd"/>
      <w:r w:rsidRPr="00F223CF">
        <w:rPr>
          <w:rFonts w:ascii="Georgia" w:hAnsi="Georgia" w:cs="Arial"/>
          <w:color w:val="000000"/>
        </w:rPr>
        <w:t xml:space="preserve"> and kaolinitic sands of the former Fort Valley Group as subdivisions within the of the Oconee Group.  This includes the Marshallville Formation, the Upper Cretaceous, </w:t>
      </w:r>
      <w:proofErr w:type="spellStart"/>
      <w:r w:rsidRPr="00F223CF">
        <w:rPr>
          <w:rFonts w:ascii="Georgia" w:hAnsi="Georgia" w:cs="Arial"/>
          <w:color w:val="000000"/>
        </w:rPr>
        <w:t>Nakomis</w:t>
      </w:r>
      <w:proofErr w:type="spellEnd"/>
      <w:r w:rsidRPr="00F223CF">
        <w:rPr>
          <w:rFonts w:ascii="Georgia" w:hAnsi="Georgia" w:cs="Arial"/>
          <w:color w:val="000000"/>
        </w:rPr>
        <w:t xml:space="preserve"> Formation and, possibly, the Providence Sand.  Other kaolinitic and kaolinitic sand formations that include the Baker Hill Formation, and the Tuscaloosa-equivalent sand in the Columbus area, appear to be </w:t>
      </w:r>
      <w:proofErr w:type="gramStart"/>
      <w:r w:rsidRPr="00F223CF">
        <w:rPr>
          <w:rFonts w:ascii="Georgia" w:hAnsi="Georgia" w:cs="Arial"/>
          <w:color w:val="000000"/>
        </w:rPr>
        <w:t>physically  isolated</w:t>
      </w:r>
      <w:proofErr w:type="gramEnd"/>
      <w:r w:rsidRPr="00F223CF">
        <w:rPr>
          <w:rFonts w:ascii="Georgia" w:hAnsi="Georgia" w:cs="Arial"/>
          <w:color w:val="000000"/>
        </w:rPr>
        <w:t xml:space="preserve"> from the Oconee Group. The Perry Sand and the Mossy Creek Sand cannot be included in the Oconee Group on lithologic grounds.  Another formation that could be included in the Oconee Group, if it were physically connected with the Group is the Altamaha Formation of Miocene age.  The Altamaha Formation is an Oconee Group-type formation that was deposited in a similar depositional environment and most closely resembles the lithology of the Upper Cretaceous, Pio </w:t>
      </w:r>
      <w:proofErr w:type="spellStart"/>
      <w:r w:rsidRPr="00F223CF">
        <w:rPr>
          <w:rFonts w:ascii="Georgia" w:hAnsi="Georgia" w:cs="Arial"/>
          <w:color w:val="000000"/>
        </w:rPr>
        <w:t>Nono</w:t>
      </w:r>
      <w:proofErr w:type="spellEnd"/>
      <w:r w:rsidRPr="00F223CF">
        <w:rPr>
          <w:rFonts w:ascii="Georgia" w:hAnsi="Georgia" w:cs="Arial"/>
          <w:color w:val="000000"/>
        </w:rPr>
        <w:t xml:space="preserve"> Formation of the Oconee Group. </w:t>
      </w:r>
    </w:p>
    <w:p w14:paraId="6418F52A" w14:textId="77777777" w:rsidR="002600A7" w:rsidRPr="00F223CF" w:rsidRDefault="002600A7" w:rsidP="00194354">
      <w:pPr>
        <w:pStyle w:val="yiv4264280208msonormal"/>
        <w:shd w:val="clear" w:color="auto" w:fill="FFFFFF"/>
        <w:spacing w:before="0" w:beforeAutospacing="0" w:after="0" w:afterAutospacing="0"/>
        <w:jc w:val="both"/>
        <w:rPr>
          <w:rFonts w:ascii="Georgia" w:hAnsi="Georgia" w:cs="Arial"/>
          <w:color w:val="000000"/>
        </w:rPr>
      </w:pPr>
    </w:p>
    <w:p w14:paraId="7A221002" w14:textId="77777777" w:rsidR="00A25792" w:rsidRPr="00F223CF" w:rsidRDefault="002600A7" w:rsidP="00194354">
      <w:pPr>
        <w:pStyle w:val="yiv4264280208msonormal"/>
        <w:shd w:val="clear" w:color="auto" w:fill="FFFFFF"/>
        <w:spacing w:before="0" w:beforeAutospacing="0" w:after="0" w:afterAutospacing="0"/>
        <w:jc w:val="both"/>
        <w:rPr>
          <w:rFonts w:ascii="Georgia" w:hAnsi="Georgia" w:cs="Arial"/>
          <w:b/>
          <w:bCs/>
        </w:rPr>
      </w:pPr>
      <w:r w:rsidRPr="00F223CF">
        <w:rPr>
          <w:rFonts w:ascii="Georgia" w:hAnsi="Georgia" w:cs="Arial"/>
          <w:b/>
          <w:bCs/>
        </w:rPr>
        <w:t>Huber Formation</w:t>
      </w:r>
      <w:r w:rsidR="00CF22A8" w:rsidRPr="00F223CF">
        <w:rPr>
          <w:rFonts w:ascii="Georgia" w:hAnsi="Georgia" w:cs="Arial"/>
          <w:b/>
          <w:bCs/>
        </w:rPr>
        <w:t xml:space="preserve"> </w:t>
      </w:r>
    </w:p>
    <w:p w14:paraId="5A92A883" w14:textId="41D09648" w:rsidR="002600A7" w:rsidRPr="00F223CF" w:rsidRDefault="00CF22A8" w:rsidP="00194354">
      <w:pPr>
        <w:pStyle w:val="yiv4264280208msonormal"/>
        <w:shd w:val="clear" w:color="auto" w:fill="FFFFFF"/>
        <w:spacing w:before="0" w:beforeAutospacing="0" w:after="0" w:afterAutospacing="0"/>
        <w:jc w:val="both"/>
        <w:rPr>
          <w:rFonts w:ascii="Georgia" w:hAnsi="Georgia" w:cs="Arial"/>
          <w:b/>
          <w:bCs/>
        </w:rPr>
      </w:pPr>
      <w:r w:rsidRPr="00F223CF">
        <w:rPr>
          <w:rFonts w:ascii="Georgia" w:hAnsi="Georgia" w:cs="Arial"/>
          <w:b/>
          <w:bCs/>
        </w:rPr>
        <w:t xml:space="preserve">(Marion Member &amp; </w:t>
      </w:r>
      <w:r w:rsidR="00A25792" w:rsidRPr="00F223CF">
        <w:rPr>
          <w:rFonts w:ascii="Georgia" w:hAnsi="Georgia" w:cs="Arial"/>
          <w:b/>
          <w:bCs/>
        </w:rPr>
        <w:t>Marshallville</w:t>
      </w:r>
      <w:r w:rsidRPr="00F223CF">
        <w:rPr>
          <w:rFonts w:ascii="Georgia" w:hAnsi="Georgia" w:cs="Arial"/>
          <w:b/>
          <w:bCs/>
        </w:rPr>
        <w:t xml:space="preserve"> Formation)</w:t>
      </w:r>
    </w:p>
    <w:p w14:paraId="10C45375" w14:textId="5E7121D1" w:rsidR="007D434A" w:rsidRPr="00F223CF" w:rsidRDefault="007D434A" w:rsidP="00194354">
      <w:pPr>
        <w:pStyle w:val="yiv4264280208msonormal"/>
        <w:shd w:val="clear" w:color="auto" w:fill="FFFFFF"/>
        <w:spacing w:before="0" w:beforeAutospacing="0" w:after="0" w:afterAutospacing="0"/>
        <w:jc w:val="both"/>
        <w:rPr>
          <w:rFonts w:ascii="Georgia" w:hAnsi="Georgia" w:cs="Arial"/>
        </w:rPr>
      </w:pPr>
      <w:r w:rsidRPr="00F223CF">
        <w:rPr>
          <w:rFonts w:ascii="Georgia" w:hAnsi="Georgia" w:cs="Arial"/>
        </w:rPr>
        <w:t xml:space="preserve">Frank </w:t>
      </w:r>
      <w:proofErr w:type="spellStart"/>
      <w:r w:rsidRPr="00F223CF">
        <w:rPr>
          <w:rFonts w:ascii="Georgia" w:hAnsi="Georgia" w:cs="Arial"/>
        </w:rPr>
        <w:t>Buie</w:t>
      </w:r>
      <w:proofErr w:type="spellEnd"/>
      <w:r w:rsidRPr="00F223CF">
        <w:rPr>
          <w:rFonts w:ascii="Georgia" w:hAnsi="Georgia" w:cs="Arial"/>
        </w:rPr>
        <w:t xml:space="preserve">, in his 1978 formal proposal of the Huber Formation, included all Tertiary kaolin-bearing deposits in Georgia within the Huber Formation.  Before that the Oconee Group kaolinitic deposits had no formal name and had been loosely included in the Tuscaloosa Formation of Alabama.  In the outcrop area of Georgia there are two clear and distinct Tertiary, kaolinitic units in the Huber Formation that </w:t>
      </w:r>
      <w:proofErr w:type="spellStart"/>
      <w:r w:rsidRPr="00F223CF">
        <w:rPr>
          <w:rFonts w:ascii="Georgia" w:hAnsi="Georgia" w:cs="Arial"/>
        </w:rPr>
        <w:t>Buie</w:t>
      </w:r>
      <w:proofErr w:type="spellEnd"/>
      <w:r w:rsidRPr="00F223CF">
        <w:rPr>
          <w:rFonts w:ascii="Georgia" w:hAnsi="Georgia" w:cs="Arial"/>
        </w:rPr>
        <w:t xml:space="preserve"> described: the </w:t>
      </w:r>
      <w:proofErr w:type="spellStart"/>
      <w:r w:rsidRPr="00F223CF">
        <w:rPr>
          <w:rFonts w:ascii="Georgia" w:hAnsi="Georgia" w:cs="Arial"/>
        </w:rPr>
        <w:t>Claibornian</w:t>
      </w:r>
      <w:proofErr w:type="spellEnd"/>
      <w:r w:rsidRPr="00F223CF">
        <w:rPr>
          <w:rFonts w:ascii="Georgia" w:hAnsi="Georgia" w:cs="Arial"/>
        </w:rPr>
        <w:t xml:space="preserve"> unit for which </w:t>
      </w:r>
      <w:proofErr w:type="spellStart"/>
      <w:r w:rsidRPr="00F223CF">
        <w:rPr>
          <w:rFonts w:ascii="Georgia" w:hAnsi="Georgia" w:cs="Arial"/>
        </w:rPr>
        <w:t>Huddlestun</w:t>
      </w:r>
      <w:proofErr w:type="spellEnd"/>
      <w:r w:rsidRPr="00F223CF">
        <w:rPr>
          <w:rFonts w:ascii="Georgia" w:hAnsi="Georgia" w:cs="Arial"/>
        </w:rPr>
        <w:t xml:space="preserve"> in 1991 proposed the name Jeffersonville Member, and the kaolinitic Marion Member for the Clayton-equivalent, </w:t>
      </w:r>
      <w:proofErr w:type="spellStart"/>
      <w:r w:rsidRPr="00F223CF">
        <w:rPr>
          <w:rFonts w:ascii="Georgia" w:hAnsi="Georgia" w:cs="Arial"/>
        </w:rPr>
        <w:t>Midwayan</w:t>
      </w:r>
      <w:proofErr w:type="spellEnd"/>
      <w:r w:rsidRPr="00F223CF">
        <w:rPr>
          <w:rFonts w:ascii="Georgia" w:hAnsi="Georgia" w:cs="Arial"/>
        </w:rPr>
        <w:t xml:space="preserve"> member of the Huber Formation.  At the time, it was essential not to cut out and subdivide a stratigraphic unit from a previously proposed, encompassing, and adopted stratigraphic unit, according to the various Codes of Stratigraphic Nomenclature.  However, this recommendation in the Codes introduces a problem in the choice of the stratigraphic name to retain and the one to abandon.  The Clayton-equivalent stratigraphic, kaolinitic unit has two </w:t>
      </w:r>
      <w:proofErr w:type="gramStart"/>
      <w:r w:rsidRPr="00F223CF">
        <w:rPr>
          <w:rFonts w:ascii="Georgia" w:hAnsi="Georgia" w:cs="Arial"/>
        </w:rPr>
        <w:t>names;</w:t>
      </w:r>
      <w:proofErr w:type="gramEnd"/>
      <w:r w:rsidRPr="00F223CF">
        <w:rPr>
          <w:rFonts w:ascii="Georgia" w:hAnsi="Georgia" w:cs="Arial"/>
        </w:rPr>
        <w:t xml:space="preserve"> the Marshallville Formation in the Fort Valley area, and the Marion Member of the Huber Member, mostly east of the Ocmulgee River.  I know of no naturally occurring exposures of the Marion Member of the Huber; </w:t>
      </w:r>
      <w:proofErr w:type="gramStart"/>
      <w:r w:rsidRPr="00F223CF">
        <w:rPr>
          <w:rFonts w:ascii="Georgia" w:hAnsi="Georgia" w:cs="Arial"/>
        </w:rPr>
        <w:t>all of</w:t>
      </w:r>
      <w:proofErr w:type="gramEnd"/>
      <w:r w:rsidRPr="00F223CF">
        <w:rPr>
          <w:rFonts w:ascii="Georgia" w:hAnsi="Georgia" w:cs="Arial"/>
        </w:rPr>
        <w:t xml:space="preserve"> the good exposures of the unit are in kaolin pits.  On the other hand, the type locality of the Marshallville Formation in the bluff north of Marshallville, is an excellent natural exposure, easily accessible, and will be available to geologists for an indefinite period in the future.  As a result, I would prefer to adjust the stratigraphic terminology, in spite of the recommendations of the Stratigraphic Codes, in the following manner: the Marshallville Formation should include all kaolin bearing and kaolinitic sands of Clayton-equivalent of the lower Midway in Georgia; the Huber Formation should </w:t>
      </w:r>
      <w:proofErr w:type="spellStart"/>
      <w:proofErr w:type="gramStart"/>
      <w:r w:rsidRPr="00F223CF">
        <w:rPr>
          <w:rFonts w:ascii="Georgia" w:hAnsi="Georgia" w:cs="Arial"/>
        </w:rPr>
        <w:t>included</w:t>
      </w:r>
      <w:proofErr w:type="spellEnd"/>
      <w:proofErr w:type="gramEnd"/>
      <w:r w:rsidRPr="00F223CF">
        <w:rPr>
          <w:rFonts w:ascii="Georgia" w:hAnsi="Georgia" w:cs="Arial"/>
        </w:rPr>
        <w:t xml:space="preserve"> all the hard </w:t>
      </w:r>
      <w:proofErr w:type="spellStart"/>
      <w:r w:rsidRPr="00F223CF">
        <w:rPr>
          <w:rFonts w:ascii="Georgia" w:hAnsi="Georgia" w:cs="Arial"/>
        </w:rPr>
        <w:t>kaolins</w:t>
      </w:r>
      <w:proofErr w:type="spellEnd"/>
      <w:r w:rsidRPr="00F223CF">
        <w:rPr>
          <w:rFonts w:ascii="Georgia" w:hAnsi="Georgia" w:cs="Arial"/>
        </w:rPr>
        <w:t xml:space="preserve"> and kaolinitic sands of the </w:t>
      </w:r>
      <w:proofErr w:type="spellStart"/>
      <w:r w:rsidRPr="00F223CF">
        <w:rPr>
          <w:rFonts w:ascii="Georgia" w:hAnsi="Georgia" w:cs="Arial"/>
        </w:rPr>
        <w:t>Claibornian</w:t>
      </w:r>
      <w:proofErr w:type="spellEnd"/>
      <w:r w:rsidRPr="00F223CF">
        <w:rPr>
          <w:rFonts w:ascii="Georgia" w:hAnsi="Georgia" w:cs="Arial"/>
        </w:rPr>
        <w:t xml:space="preserve"> in Georgia. </w:t>
      </w:r>
    </w:p>
    <w:p w14:paraId="461867F9" w14:textId="77777777" w:rsidR="00020CAE" w:rsidRPr="00F223CF" w:rsidRDefault="00020CAE" w:rsidP="00194354">
      <w:pPr>
        <w:pStyle w:val="yiv4264280208msonormal"/>
        <w:shd w:val="clear" w:color="auto" w:fill="FFFFFF"/>
        <w:spacing w:before="0" w:beforeAutospacing="0" w:after="0" w:afterAutospacing="0"/>
        <w:jc w:val="both"/>
        <w:rPr>
          <w:rFonts w:ascii="Georgia" w:hAnsi="Georgia" w:cs="Arial"/>
          <w:color w:val="FF0000"/>
        </w:rPr>
      </w:pPr>
    </w:p>
    <w:p w14:paraId="5490787B" w14:textId="61FB5168" w:rsidR="00020CAE" w:rsidRPr="00F223CF" w:rsidRDefault="00020CAE" w:rsidP="00194354">
      <w:pPr>
        <w:pStyle w:val="yiv4264280208msonormal"/>
        <w:shd w:val="clear" w:color="auto" w:fill="FFFFFF"/>
        <w:spacing w:before="0" w:beforeAutospacing="0" w:after="0" w:afterAutospacing="0"/>
        <w:jc w:val="both"/>
        <w:rPr>
          <w:rFonts w:ascii="Georgia" w:hAnsi="Georgia" w:cs="Arial"/>
          <w:b/>
          <w:bCs/>
        </w:rPr>
      </w:pPr>
      <w:r w:rsidRPr="00F223CF">
        <w:rPr>
          <w:rFonts w:ascii="Georgia" w:hAnsi="Georgia" w:cs="Arial"/>
          <w:b/>
          <w:bCs/>
        </w:rPr>
        <w:t>Upper Cretaceous</w:t>
      </w:r>
    </w:p>
    <w:p w14:paraId="48E31461" w14:textId="77777777" w:rsidR="00E77E9A" w:rsidRPr="00F223CF" w:rsidRDefault="007D434A" w:rsidP="00194354">
      <w:pPr>
        <w:pStyle w:val="yiv4264280208msonormal"/>
        <w:shd w:val="clear" w:color="auto" w:fill="FFFFFF"/>
        <w:spacing w:before="0" w:beforeAutospacing="0" w:after="0" w:afterAutospacing="0"/>
        <w:jc w:val="both"/>
        <w:rPr>
          <w:rFonts w:ascii="Georgia" w:hAnsi="Georgia" w:cs="Arial"/>
        </w:rPr>
      </w:pPr>
      <w:r w:rsidRPr="00F223CF">
        <w:rPr>
          <w:rFonts w:ascii="Georgia" w:hAnsi="Georgia" w:cs="Arial"/>
        </w:rPr>
        <w:lastRenderedPageBreak/>
        <w:t xml:space="preserve">The upper Cretaceous seems rather simple compared with the lower Tertiary described above.  The youngest Cretaceous formations are the Providence Sand and the downdip stratigraphic equivalent, the Prairie Bluff Formation.  </w:t>
      </w:r>
    </w:p>
    <w:p w14:paraId="515BD515" w14:textId="77777777" w:rsidR="00E77E9A" w:rsidRPr="00F223CF" w:rsidRDefault="00E77E9A" w:rsidP="00194354">
      <w:pPr>
        <w:pStyle w:val="yiv4264280208msonormal"/>
        <w:shd w:val="clear" w:color="auto" w:fill="FFFFFF"/>
        <w:spacing w:before="0" w:beforeAutospacing="0" w:after="0" w:afterAutospacing="0"/>
        <w:jc w:val="both"/>
        <w:rPr>
          <w:rFonts w:ascii="Georgia" w:hAnsi="Georgia" w:cs="Arial"/>
        </w:rPr>
      </w:pPr>
    </w:p>
    <w:p w14:paraId="7DEDF1C9" w14:textId="77777777" w:rsidR="004C47DF" w:rsidRPr="00F223CF" w:rsidRDefault="00E77E9A" w:rsidP="00194354">
      <w:pPr>
        <w:pStyle w:val="yiv4264280208msonormal"/>
        <w:shd w:val="clear" w:color="auto" w:fill="FFFFFF"/>
        <w:spacing w:before="0" w:beforeAutospacing="0" w:after="0" w:afterAutospacing="0"/>
        <w:jc w:val="both"/>
        <w:rPr>
          <w:rFonts w:ascii="Georgia" w:hAnsi="Georgia" w:cs="Arial"/>
          <w:b/>
          <w:bCs/>
        </w:rPr>
      </w:pPr>
      <w:r w:rsidRPr="00F223CF">
        <w:rPr>
          <w:rFonts w:ascii="Georgia" w:hAnsi="Georgia" w:cs="Arial"/>
          <w:b/>
          <w:bCs/>
        </w:rPr>
        <w:t xml:space="preserve">The Providence Sand </w:t>
      </w:r>
    </w:p>
    <w:p w14:paraId="3A71F485" w14:textId="77777777" w:rsidR="004C47DF" w:rsidRPr="00F223CF" w:rsidRDefault="00E77E9A" w:rsidP="00194354">
      <w:pPr>
        <w:pStyle w:val="yiv4264280208msonormal"/>
        <w:shd w:val="clear" w:color="auto" w:fill="FFFFFF"/>
        <w:spacing w:before="0" w:beforeAutospacing="0" w:after="0" w:afterAutospacing="0"/>
        <w:jc w:val="both"/>
        <w:rPr>
          <w:rFonts w:ascii="Georgia" w:hAnsi="Georgia" w:cs="Arial"/>
          <w:b/>
          <w:bCs/>
        </w:rPr>
      </w:pPr>
      <w:r w:rsidRPr="00F223CF">
        <w:rPr>
          <w:rFonts w:ascii="Georgia" w:hAnsi="Georgia" w:cs="Arial"/>
          <w:b/>
          <w:bCs/>
        </w:rPr>
        <w:t xml:space="preserve">&amp; </w:t>
      </w:r>
      <w:proofErr w:type="spellStart"/>
      <w:r w:rsidR="004C47DF" w:rsidRPr="00F223CF">
        <w:rPr>
          <w:rFonts w:ascii="Georgia" w:hAnsi="Georgia" w:cs="Arial"/>
          <w:b/>
          <w:bCs/>
        </w:rPr>
        <w:t>Priare</w:t>
      </w:r>
      <w:proofErr w:type="spellEnd"/>
      <w:r w:rsidR="004C47DF" w:rsidRPr="00F223CF">
        <w:rPr>
          <w:rFonts w:ascii="Georgia" w:hAnsi="Georgia" w:cs="Arial"/>
          <w:b/>
          <w:bCs/>
        </w:rPr>
        <w:t xml:space="preserve"> Bluff Formations</w:t>
      </w:r>
    </w:p>
    <w:p w14:paraId="7DEB3FDB" w14:textId="5D7EB9BE" w:rsidR="007D434A" w:rsidRPr="00F223CF" w:rsidRDefault="007D434A" w:rsidP="00194354">
      <w:pPr>
        <w:pStyle w:val="yiv4264280208msonormal"/>
        <w:shd w:val="clear" w:color="auto" w:fill="FFFFFF"/>
        <w:spacing w:before="0" w:beforeAutospacing="0" w:after="0" w:afterAutospacing="0"/>
        <w:jc w:val="both"/>
        <w:rPr>
          <w:rFonts w:ascii="Georgia" w:hAnsi="Georgia" w:cs="Arial"/>
        </w:rPr>
      </w:pPr>
      <w:r w:rsidRPr="00F223CF">
        <w:rPr>
          <w:rFonts w:ascii="Georgia" w:hAnsi="Georgia" w:cs="Arial"/>
        </w:rPr>
        <w:t xml:space="preserve">The Providence Sand has only been recognized in western Georgia, west of the vicinity of the Flint River.  It can be easily identified in outcrop and in cores with the </w:t>
      </w:r>
      <w:proofErr w:type="spellStart"/>
      <w:r w:rsidRPr="00F223CF">
        <w:rPr>
          <w:rFonts w:ascii="Georgia" w:hAnsi="Georgia" w:cs="Arial"/>
        </w:rPr>
        <w:t>Perote</w:t>
      </w:r>
      <w:proofErr w:type="spellEnd"/>
      <w:r w:rsidRPr="00F223CF">
        <w:rPr>
          <w:rFonts w:ascii="Georgia" w:hAnsi="Georgia" w:cs="Arial"/>
        </w:rPr>
        <w:t xml:space="preserve">, </w:t>
      </w:r>
      <w:proofErr w:type="spellStart"/>
      <w:r w:rsidRPr="00F223CF">
        <w:rPr>
          <w:rFonts w:ascii="Georgia" w:hAnsi="Georgia" w:cs="Arial"/>
        </w:rPr>
        <w:t>lignitic</w:t>
      </w:r>
      <w:proofErr w:type="spellEnd"/>
      <w:r w:rsidRPr="00F223CF">
        <w:rPr>
          <w:rFonts w:ascii="Georgia" w:hAnsi="Georgia" w:cs="Arial"/>
        </w:rPr>
        <w:t xml:space="preserve"> Member at the base of the formation.  It may occur east of the Flint River in the sub</w:t>
      </w:r>
      <w:r w:rsidR="006D05F8" w:rsidRPr="00F223CF">
        <w:rPr>
          <w:rFonts w:ascii="Georgia" w:hAnsi="Georgia" w:cs="Arial"/>
        </w:rPr>
        <w:t>-surface,</w:t>
      </w:r>
      <w:r w:rsidRPr="00F223CF">
        <w:rPr>
          <w:rFonts w:ascii="Georgia" w:hAnsi="Georgia" w:cs="Arial"/>
        </w:rPr>
        <w:t xml:space="preserve"> but no GGS cores are located sufficiently far south and deep enough in Macon, Houston, </w:t>
      </w:r>
      <w:proofErr w:type="gramStart"/>
      <w:r w:rsidRPr="00F223CF">
        <w:rPr>
          <w:rFonts w:ascii="Georgia" w:hAnsi="Georgia" w:cs="Arial"/>
        </w:rPr>
        <w:t>Dooley</w:t>
      </w:r>
      <w:proofErr w:type="gramEnd"/>
      <w:r w:rsidRPr="00F223CF">
        <w:rPr>
          <w:rFonts w:ascii="Georgia" w:hAnsi="Georgia" w:cs="Arial"/>
        </w:rPr>
        <w:t xml:space="preserve"> or Pulaski Counties to penetrate the upper-most Cretaceous, Providence Sand of middle Navarro and Maastrichtian ages.  The Prairie Bluff is identified only in the Albany core and is a calcareous, argillaceous sand and limestone formation. </w:t>
      </w:r>
    </w:p>
    <w:p w14:paraId="44FDB24A" w14:textId="0C046E5E" w:rsidR="007D434A" w:rsidRPr="00F223CF" w:rsidRDefault="007D434A" w:rsidP="00194354">
      <w:pPr>
        <w:pStyle w:val="yiv4264280208msonormal"/>
        <w:shd w:val="clear" w:color="auto" w:fill="FFFFFF"/>
        <w:spacing w:before="0" w:beforeAutospacing="0" w:after="0" w:afterAutospacing="0"/>
        <w:jc w:val="both"/>
        <w:rPr>
          <w:rFonts w:ascii="Georgia" w:hAnsi="Georgia" w:cs="Arial"/>
          <w:color w:val="191919"/>
        </w:rPr>
      </w:pPr>
    </w:p>
    <w:p w14:paraId="210ACAB7" w14:textId="1D5E1F8B" w:rsidR="00143006" w:rsidRPr="00F223CF" w:rsidRDefault="00143006" w:rsidP="00194354">
      <w:pPr>
        <w:pStyle w:val="yiv4264280208msonormal"/>
        <w:shd w:val="clear" w:color="auto" w:fill="FFFFFF"/>
        <w:spacing w:before="0" w:beforeAutospacing="0" w:after="0" w:afterAutospacing="0"/>
        <w:jc w:val="both"/>
        <w:rPr>
          <w:rFonts w:ascii="Georgia" w:hAnsi="Georgia" w:cs="Arial"/>
          <w:b/>
          <w:bCs/>
          <w:color w:val="000000"/>
        </w:rPr>
      </w:pPr>
      <w:r w:rsidRPr="00F223CF">
        <w:rPr>
          <w:rFonts w:ascii="Georgia" w:hAnsi="Georgia" w:cs="Arial"/>
          <w:b/>
          <w:bCs/>
          <w:color w:val="191919"/>
        </w:rPr>
        <w:t>Ripley Formation</w:t>
      </w:r>
    </w:p>
    <w:p w14:paraId="53AD92EE" w14:textId="6F3417CF" w:rsidR="007D434A" w:rsidRPr="00F223CF" w:rsidRDefault="007D434A" w:rsidP="00194354">
      <w:pPr>
        <w:pStyle w:val="yiv4264280208msonormal"/>
        <w:shd w:val="clear" w:color="auto" w:fill="FFFFFF"/>
        <w:spacing w:before="0" w:beforeAutospacing="0" w:after="0" w:afterAutospacing="0"/>
        <w:jc w:val="both"/>
        <w:rPr>
          <w:rFonts w:ascii="Georgia" w:hAnsi="Georgia" w:cs="Arial"/>
          <w:color w:val="000000"/>
        </w:rPr>
      </w:pPr>
      <w:r w:rsidRPr="00F223CF">
        <w:rPr>
          <w:rFonts w:ascii="Georgia" w:hAnsi="Georgia" w:cs="Arial"/>
          <w:color w:val="191919"/>
        </w:rPr>
        <w:t xml:space="preserve">The Ripley Formation, with a type locality in Tennessee, is a very wide ranging, Upper Cretaceous formation in the southeast Coastal </w:t>
      </w:r>
      <w:proofErr w:type="gramStart"/>
      <w:r w:rsidRPr="00F223CF">
        <w:rPr>
          <w:rFonts w:ascii="Georgia" w:hAnsi="Georgia" w:cs="Arial"/>
          <w:color w:val="191919"/>
        </w:rPr>
        <w:t>Plain;</w:t>
      </w:r>
      <w:proofErr w:type="gramEnd"/>
      <w:r w:rsidRPr="00F223CF">
        <w:rPr>
          <w:rFonts w:ascii="Georgia" w:hAnsi="Georgia" w:cs="Arial"/>
          <w:color w:val="191919"/>
        </w:rPr>
        <w:t xml:space="preserve"> extending from western Tennessee through Mississippi and Alabama and into Georgia.  In </w:t>
      </w:r>
      <w:proofErr w:type="gramStart"/>
      <w:r w:rsidRPr="00F223CF">
        <w:rPr>
          <w:rFonts w:ascii="Georgia" w:hAnsi="Georgia" w:cs="Arial"/>
          <w:color w:val="191919"/>
        </w:rPr>
        <w:t>Georgia</w:t>
      </w:r>
      <w:proofErr w:type="gramEnd"/>
      <w:r w:rsidRPr="00F223CF">
        <w:rPr>
          <w:rFonts w:ascii="Georgia" w:hAnsi="Georgia" w:cs="Arial"/>
          <w:color w:val="191919"/>
        </w:rPr>
        <w:t xml:space="preserve"> the Ripley is dominantly a sand formation and is widely present in outcrop in western Georgia in the Chattahoochee River </w:t>
      </w:r>
      <w:r w:rsidR="009918C8" w:rsidRPr="00F223CF">
        <w:rPr>
          <w:rFonts w:ascii="Georgia" w:hAnsi="Georgia" w:cs="Arial"/>
          <w:color w:val="191919"/>
        </w:rPr>
        <w:t>area and</w:t>
      </w:r>
      <w:r w:rsidRPr="00F223CF">
        <w:rPr>
          <w:rFonts w:ascii="Georgia" w:hAnsi="Georgia" w:cs="Arial"/>
          <w:color w:val="191919"/>
        </w:rPr>
        <w:t xml:space="preserve"> is known to extend eastward in the subsurface of Georgia at least as far east as Laurens County.  The Ripley is not known to be present in the Savannah River area in Burke County, but a kaolinitic formation of the Oconee Group, the Steel Creek Formation, occurs in the relative stratigraphic position of the Ripley.  No cores in Screven County are deep enough to determine the transition area into the marine lithofacies of the Steel Creek, but the </w:t>
      </w:r>
      <w:proofErr w:type="spellStart"/>
      <w:r w:rsidRPr="00F223CF">
        <w:rPr>
          <w:rFonts w:ascii="Georgia" w:hAnsi="Georgia" w:cs="Arial"/>
          <w:color w:val="191919"/>
        </w:rPr>
        <w:t>Peedee</w:t>
      </w:r>
      <w:proofErr w:type="spellEnd"/>
      <w:r w:rsidRPr="00F223CF">
        <w:rPr>
          <w:rFonts w:ascii="Georgia" w:hAnsi="Georgia" w:cs="Arial"/>
          <w:color w:val="191919"/>
        </w:rPr>
        <w:t xml:space="preserve"> Formation occurs in the Ripley/Prairie Bluff </w:t>
      </w:r>
      <w:r w:rsidRPr="00F223CF">
        <w:rPr>
          <w:rFonts w:ascii="Georgia" w:hAnsi="Georgia" w:cs="Arial"/>
          <w:i/>
          <w:iCs/>
          <w:color w:val="191919"/>
        </w:rPr>
        <w:t>relative</w:t>
      </w:r>
      <w:r w:rsidRPr="00F223CF">
        <w:rPr>
          <w:rFonts w:ascii="Georgia" w:hAnsi="Georgia" w:cs="Arial"/>
          <w:color w:val="191919"/>
        </w:rPr>
        <w:t xml:space="preserve"> stratigraphic position of the Ripley in the </w:t>
      </w:r>
      <w:proofErr w:type="spellStart"/>
      <w:r w:rsidRPr="00F223CF">
        <w:rPr>
          <w:rFonts w:ascii="Georgia" w:hAnsi="Georgia" w:cs="Arial"/>
          <w:color w:val="191919"/>
        </w:rPr>
        <w:t>Pineora</w:t>
      </w:r>
      <w:proofErr w:type="spellEnd"/>
      <w:r w:rsidRPr="00F223CF">
        <w:rPr>
          <w:rFonts w:ascii="Georgia" w:hAnsi="Georgia" w:cs="Arial"/>
          <w:color w:val="191919"/>
        </w:rPr>
        <w:t xml:space="preserve"> core in Effingham County. </w:t>
      </w:r>
    </w:p>
    <w:p w14:paraId="44EA8A54" w14:textId="492153D4" w:rsidR="007D434A" w:rsidRPr="00F223CF" w:rsidRDefault="007D434A" w:rsidP="00194354">
      <w:pPr>
        <w:pStyle w:val="yiv4264280208msonormal"/>
        <w:shd w:val="clear" w:color="auto" w:fill="FFFFFF"/>
        <w:spacing w:before="0" w:beforeAutospacing="0" w:after="0" w:afterAutospacing="0"/>
        <w:jc w:val="both"/>
        <w:rPr>
          <w:rFonts w:ascii="Georgia" w:hAnsi="Georgia" w:cs="Arial"/>
          <w:color w:val="191919"/>
        </w:rPr>
      </w:pPr>
    </w:p>
    <w:p w14:paraId="1E99C170" w14:textId="1E4D3E27" w:rsidR="00BB4CCF" w:rsidRPr="00F223CF" w:rsidRDefault="00BB4CCF" w:rsidP="00194354">
      <w:pPr>
        <w:pStyle w:val="yiv4264280208msonormal"/>
        <w:shd w:val="clear" w:color="auto" w:fill="FFFFFF"/>
        <w:spacing w:before="0" w:beforeAutospacing="0" w:after="0" w:afterAutospacing="0"/>
        <w:jc w:val="both"/>
        <w:rPr>
          <w:rFonts w:ascii="Georgia" w:hAnsi="Georgia" w:cs="Arial"/>
          <w:b/>
          <w:bCs/>
          <w:color w:val="000000"/>
        </w:rPr>
      </w:pPr>
      <w:r w:rsidRPr="00F223CF">
        <w:rPr>
          <w:rFonts w:ascii="Georgia" w:hAnsi="Georgia" w:cs="Arial"/>
          <w:b/>
          <w:bCs/>
          <w:color w:val="191919"/>
        </w:rPr>
        <w:t xml:space="preserve">The </w:t>
      </w:r>
      <w:proofErr w:type="spellStart"/>
      <w:r w:rsidRPr="00F223CF">
        <w:rPr>
          <w:rFonts w:ascii="Georgia" w:hAnsi="Georgia" w:cs="Arial"/>
          <w:b/>
          <w:bCs/>
          <w:color w:val="191919"/>
        </w:rPr>
        <w:t>Nakomis</w:t>
      </w:r>
      <w:proofErr w:type="spellEnd"/>
      <w:r w:rsidRPr="00F223CF">
        <w:rPr>
          <w:rFonts w:ascii="Georgia" w:hAnsi="Georgia" w:cs="Arial"/>
          <w:b/>
          <w:bCs/>
          <w:color w:val="191919"/>
        </w:rPr>
        <w:t xml:space="preserve"> Formation</w:t>
      </w:r>
    </w:p>
    <w:p w14:paraId="74C9987F" w14:textId="4716BEDD" w:rsidR="007D434A" w:rsidRPr="00F223CF" w:rsidRDefault="007D434A" w:rsidP="00194354">
      <w:pPr>
        <w:pStyle w:val="yiv4264280208msonormal"/>
        <w:shd w:val="clear" w:color="auto" w:fill="FFFFFF"/>
        <w:spacing w:before="0" w:beforeAutospacing="0" w:after="0" w:afterAutospacing="0"/>
        <w:jc w:val="both"/>
        <w:rPr>
          <w:rFonts w:ascii="Georgia" w:hAnsi="Georgia" w:cs="Arial"/>
          <w:color w:val="000000"/>
        </w:rPr>
      </w:pPr>
      <w:r w:rsidRPr="00F223CF">
        <w:rPr>
          <w:rFonts w:ascii="Georgia" w:hAnsi="Georgia" w:cs="Arial"/>
          <w:color w:val="000000"/>
        </w:rPr>
        <w:t xml:space="preserve">The </w:t>
      </w:r>
      <w:proofErr w:type="spellStart"/>
      <w:r w:rsidRPr="00F223CF">
        <w:rPr>
          <w:rFonts w:ascii="Georgia" w:hAnsi="Georgia" w:cs="Arial"/>
          <w:color w:val="000000"/>
        </w:rPr>
        <w:t>Nakomis</w:t>
      </w:r>
      <w:proofErr w:type="spellEnd"/>
      <w:r w:rsidRPr="00F223CF">
        <w:rPr>
          <w:rFonts w:ascii="Georgia" w:hAnsi="Georgia" w:cs="Arial"/>
          <w:color w:val="000000"/>
        </w:rPr>
        <w:t xml:space="preserve"> Formation of the Oconee Group occurs in the stratigraphic position of the Ripley Formation in the northern Fort Valley area and eastward at least as far as Laurens County.  The </w:t>
      </w:r>
      <w:proofErr w:type="spellStart"/>
      <w:r w:rsidRPr="00F223CF">
        <w:rPr>
          <w:rFonts w:ascii="Georgia" w:hAnsi="Georgia" w:cs="Arial"/>
          <w:color w:val="000000"/>
        </w:rPr>
        <w:t>Nakomis</w:t>
      </w:r>
      <w:proofErr w:type="spellEnd"/>
      <w:r w:rsidRPr="00F223CF">
        <w:rPr>
          <w:rFonts w:ascii="Georgia" w:hAnsi="Georgia" w:cs="Arial"/>
          <w:color w:val="000000"/>
        </w:rPr>
        <w:t xml:space="preserve"> is a poorly understood formation at this time but </w:t>
      </w:r>
      <w:r w:rsidR="00FE60E3" w:rsidRPr="00F223CF">
        <w:rPr>
          <w:rFonts w:ascii="Georgia" w:hAnsi="Georgia" w:cs="Arial"/>
          <w:color w:val="000000"/>
        </w:rPr>
        <w:t>clearly overlies</w:t>
      </w:r>
      <w:r w:rsidRPr="00F223CF">
        <w:rPr>
          <w:rFonts w:ascii="Georgia" w:hAnsi="Georgia" w:cs="Arial"/>
          <w:color w:val="000000"/>
        </w:rPr>
        <w:t xml:space="preserve"> the Gaillard Formation dis</w:t>
      </w:r>
      <w:r w:rsidR="00FE60E3" w:rsidRPr="00F223CF">
        <w:rPr>
          <w:rFonts w:ascii="Georgia" w:hAnsi="Georgia" w:cs="Arial"/>
          <w:color w:val="000000"/>
        </w:rPr>
        <w:t>-</w:t>
      </w:r>
      <w:r w:rsidRPr="00F223CF">
        <w:rPr>
          <w:rFonts w:ascii="Georgia" w:hAnsi="Georgia" w:cs="Arial"/>
          <w:color w:val="000000"/>
        </w:rPr>
        <w:t xml:space="preserve">conformably in the </w:t>
      </w:r>
      <w:proofErr w:type="spellStart"/>
      <w:r w:rsidRPr="00F223CF">
        <w:rPr>
          <w:rFonts w:ascii="Georgia" w:hAnsi="Georgia" w:cs="Arial"/>
          <w:color w:val="000000"/>
        </w:rPr>
        <w:t>Nakomis</w:t>
      </w:r>
      <w:proofErr w:type="spellEnd"/>
      <w:r w:rsidRPr="00F223CF">
        <w:rPr>
          <w:rFonts w:ascii="Georgia" w:hAnsi="Georgia" w:cs="Arial"/>
          <w:color w:val="000000"/>
        </w:rPr>
        <w:t xml:space="preserve"> type area on the Flint River and in the subsurface at Zenith in Crawford County, immediately south of the Gaillard sand pits.  The </w:t>
      </w:r>
      <w:proofErr w:type="spellStart"/>
      <w:r w:rsidRPr="00F223CF">
        <w:rPr>
          <w:rFonts w:ascii="Georgia" w:hAnsi="Georgia" w:cs="Arial"/>
          <w:color w:val="000000"/>
        </w:rPr>
        <w:t>Nakomis</w:t>
      </w:r>
      <w:proofErr w:type="spellEnd"/>
      <w:r w:rsidRPr="00F223CF">
        <w:rPr>
          <w:rFonts w:ascii="Georgia" w:hAnsi="Georgia" w:cs="Arial"/>
          <w:color w:val="000000"/>
        </w:rPr>
        <w:t xml:space="preserve"> Formation appears to be a distinctive formation of the Oconee Group exposed on the Flint River but, unfortunately, is not present in the sand pits near Gaillard, a few miles north of Zenith in Crawford County.  The </w:t>
      </w:r>
      <w:proofErr w:type="spellStart"/>
      <w:r w:rsidRPr="00F223CF">
        <w:rPr>
          <w:rFonts w:ascii="Georgia" w:hAnsi="Georgia" w:cs="Arial"/>
          <w:color w:val="000000"/>
        </w:rPr>
        <w:t>Nakomis</w:t>
      </w:r>
      <w:proofErr w:type="spellEnd"/>
      <w:r w:rsidRPr="00F223CF">
        <w:rPr>
          <w:rFonts w:ascii="Georgia" w:hAnsi="Georgia" w:cs="Arial"/>
          <w:color w:val="000000"/>
        </w:rPr>
        <w:t xml:space="preserve"> grades downdip in the vicinity of Marshallville into the Ripley Formation.</w:t>
      </w:r>
    </w:p>
    <w:p w14:paraId="74EC341F" w14:textId="2D01331A" w:rsidR="007D434A" w:rsidRPr="00F223CF" w:rsidRDefault="007D434A" w:rsidP="00194354">
      <w:pPr>
        <w:pStyle w:val="yiv4264280208msonormal"/>
        <w:shd w:val="clear" w:color="auto" w:fill="FFFFFF"/>
        <w:spacing w:before="0" w:beforeAutospacing="0" w:after="0" w:afterAutospacing="0"/>
        <w:jc w:val="both"/>
        <w:rPr>
          <w:rFonts w:ascii="Georgia" w:hAnsi="Georgia" w:cs="Arial"/>
          <w:color w:val="000000"/>
        </w:rPr>
      </w:pPr>
    </w:p>
    <w:p w14:paraId="22122EAF" w14:textId="5817B570" w:rsidR="00C32ABA" w:rsidRPr="00F223CF" w:rsidRDefault="00C32ABA" w:rsidP="00194354">
      <w:pPr>
        <w:pStyle w:val="yiv4264280208msonormal"/>
        <w:shd w:val="clear" w:color="auto" w:fill="FFFFFF"/>
        <w:spacing w:before="0" w:beforeAutospacing="0" w:after="0" w:afterAutospacing="0"/>
        <w:jc w:val="both"/>
        <w:rPr>
          <w:rFonts w:ascii="Georgia" w:hAnsi="Georgia" w:cs="Arial"/>
          <w:b/>
          <w:bCs/>
          <w:color w:val="000000"/>
        </w:rPr>
      </w:pPr>
      <w:r w:rsidRPr="00F223CF">
        <w:rPr>
          <w:rFonts w:ascii="Georgia" w:hAnsi="Georgia" w:cs="Arial"/>
          <w:b/>
          <w:bCs/>
          <w:color w:val="000000"/>
        </w:rPr>
        <w:t>Unnamed Argillaceous Formation</w:t>
      </w:r>
    </w:p>
    <w:p w14:paraId="209863C1" w14:textId="2CA70F39" w:rsidR="00A77409" w:rsidRPr="00F223CF" w:rsidRDefault="00A77409" w:rsidP="00194354">
      <w:pPr>
        <w:pStyle w:val="yiv4264280208msonormal"/>
        <w:shd w:val="clear" w:color="auto" w:fill="FFFFFF"/>
        <w:spacing w:before="0" w:beforeAutospacing="0" w:after="0" w:afterAutospacing="0"/>
        <w:jc w:val="both"/>
        <w:rPr>
          <w:rFonts w:ascii="Georgia" w:hAnsi="Georgia" w:cs="Arial"/>
          <w:b/>
          <w:bCs/>
          <w:color w:val="000000"/>
        </w:rPr>
      </w:pPr>
      <w:r w:rsidRPr="00F223CF">
        <w:rPr>
          <w:rFonts w:ascii="Georgia" w:hAnsi="Georgia" w:cs="Arial"/>
          <w:b/>
          <w:bCs/>
          <w:color w:val="000000"/>
        </w:rPr>
        <w:t>(Cusseta-Equiva</w:t>
      </w:r>
      <w:r w:rsidR="0063284E" w:rsidRPr="00F223CF">
        <w:rPr>
          <w:rFonts w:ascii="Georgia" w:hAnsi="Georgia" w:cs="Arial"/>
          <w:b/>
          <w:bCs/>
          <w:color w:val="000000"/>
        </w:rPr>
        <w:t>lent)</w:t>
      </w:r>
      <w:r w:rsidRPr="00F223CF">
        <w:rPr>
          <w:rFonts w:ascii="Georgia" w:hAnsi="Georgia" w:cs="Arial"/>
          <w:b/>
          <w:bCs/>
          <w:color w:val="000000"/>
        </w:rPr>
        <w:t xml:space="preserve"> </w:t>
      </w:r>
    </w:p>
    <w:p w14:paraId="2498905C" w14:textId="0EA40926" w:rsidR="007D434A" w:rsidRPr="00F223CF" w:rsidRDefault="007D434A" w:rsidP="00194354">
      <w:pPr>
        <w:pStyle w:val="yiv4264280208msonormal"/>
        <w:shd w:val="clear" w:color="auto" w:fill="FFFFFF"/>
        <w:spacing w:before="0" w:beforeAutospacing="0" w:after="0" w:afterAutospacing="0"/>
        <w:jc w:val="both"/>
        <w:rPr>
          <w:rFonts w:ascii="Georgia" w:hAnsi="Georgia" w:cs="Arial"/>
        </w:rPr>
      </w:pPr>
      <w:r w:rsidRPr="00F223CF">
        <w:rPr>
          <w:rFonts w:ascii="Georgia" w:hAnsi="Georgia" w:cs="Arial"/>
        </w:rPr>
        <w:lastRenderedPageBreak/>
        <w:t xml:space="preserve">The marine formation underlying the Ripley is an </w:t>
      </w:r>
      <w:bookmarkStart w:id="0" w:name="_Hlk76282296"/>
      <w:r w:rsidRPr="00F223CF">
        <w:rPr>
          <w:rFonts w:ascii="Georgia" w:hAnsi="Georgia" w:cs="Arial"/>
        </w:rPr>
        <w:t xml:space="preserve">unnamed argillaceous formation </w:t>
      </w:r>
      <w:bookmarkEnd w:id="0"/>
      <w:r w:rsidRPr="00F223CF">
        <w:rPr>
          <w:rFonts w:ascii="Georgia" w:hAnsi="Georgia" w:cs="Arial"/>
        </w:rPr>
        <w:t xml:space="preserve">that is most likely an eastern lithofacies of the </w:t>
      </w:r>
      <w:proofErr w:type="spellStart"/>
      <w:r w:rsidRPr="00F223CF">
        <w:rPr>
          <w:rFonts w:ascii="Georgia" w:hAnsi="Georgia" w:cs="Arial"/>
        </w:rPr>
        <w:t>Tayloran</w:t>
      </w:r>
      <w:proofErr w:type="spellEnd"/>
      <w:r w:rsidRPr="00F223CF">
        <w:rPr>
          <w:rFonts w:ascii="Georgia" w:hAnsi="Georgia" w:cs="Arial"/>
        </w:rPr>
        <w:t xml:space="preserve"> (Campanian) Demopolis chalk of Alabama.  This unnamed formation is the marine equivalent of the Cusseta Sand of western Georgia and the lithofacies change does occur in outcrop. However, the unnamed, argillaceous, Cusseta-equivalent formation has been referred to as Cusseta Sand in the past, but it is certainly not Cusseta.  The Cusseta Sand is a shoreface sand and the unnamed formation is an offshore, shelf-bottom formation, the two are </w:t>
      </w:r>
      <w:proofErr w:type="spellStart"/>
      <w:r w:rsidRPr="00F223CF">
        <w:rPr>
          <w:rFonts w:ascii="Georgia" w:hAnsi="Georgia" w:cs="Arial"/>
        </w:rPr>
        <w:t>lithologically</w:t>
      </w:r>
      <w:proofErr w:type="spellEnd"/>
      <w:r w:rsidRPr="00F223CF">
        <w:rPr>
          <w:rFonts w:ascii="Georgia" w:hAnsi="Georgia" w:cs="Arial"/>
        </w:rPr>
        <w:t xml:space="preserve"> quite distinct.  The Cusseta Sand is not a subdivision of the Oconee Group; however, the Cusseta supposedly does grade </w:t>
      </w:r>
      <w:proofErr w:type="spellStart"/>
      <w:r w:rsidRPr="00F223CF">
        <w:rPr>
          <w:rFonts w:ascii="Georgia" w:hAnsi="Georgia" w:cs="Arial"/>
        </w:rPr>
        <w:t>updip</w:t>
      </w:r>
      <w:proofErr w:type="spellEnd"/>
      <w:r w:rsidRPr="00F223CF">
        <w:rPr>
          <w:rFonts w:ascii="Georgia" w:hAnsi="Georgia" w:cs="Arial"/>
        </w:rPr>
        <w:t xml:space="preserve"> into the upper part of the Gaillard Formation of the Oconee Group.  The area of lithofacies change from the Cusseta into the Gaillard has never been investigated and there are no cores </w:t>
      </w:r>
      <w:proofErr w:type="gramStart"/>
      <w:r w:rsidRPr="00F223CF">
        <w:rPr>
          <w:rFonts w:ascii="Georgia" w:hAnsi="Georgia" w:cs="Arial"/>
        </w:rPr>
        <w:t>in the area of</w:t>
      </w:r>
      <w:proofErr w:type="gramEnd"/>
      <w:r w:rsidRPr="00F223CF">
        <w:rPr>
          <w:rFonts w:ascii="Georgia" w:hAnsi="Georgia" w:cs="Arial"/>
        </w:rPr>
        <w:t xml:space="preserve"> the lithofacies transition to document the precise nature of the change, and how and where the Cusseta grades laterally into the Gaillard.  From my limited experience, the change occurs in outcrop in Taylor County west of the Flint River.  However, westward from that river, there is Gaillard Formation and then, immediately farther westward, there is Cusseta Sand at similar elevations.  The eastward extent of the Cusseta Sand is unknown due to lack of subsurface core </w:t>
      </w:r>
      <w:r w:rsidR="003A7AA4" w:rsidRPr="00F223CF">
        <w:rPr>
          <w:rFonts w:ascii="Georgia" w:hAnsi="Georgia" w:cs="Arial"/>
        </w:rPr>
        <w:t>information,</w:t>
      </w:r>
      <w:r w:rsidRPr="00F223CF">
        <w:rPr>
          <w:rFonts w:ascii="Georgia" w:hAnsi="Georgia" w:cs="Arial"/>
        </w:rPr>
        <w:t xml:space="preserve"> but the unnamed Cusseta-equivalent formation is present in the Dublin core in Laurens County.</w:t>
      </w:r>
    </w:p>
    <w:p w14:paraId="3F96201D" w14:textId="77777777" w:rsidR="003A7AA4" w:rsidRPr="00F223CF" w:rsidRDefault="003A7AA4" w:rsidP="00194354">
      <w:pPr>
        <w:pStyle w:val="yiv4264280208msonormal"/>
        <w:shd w:val="clear" w:color="auto" w:fill="FFFFFF"/>
        <w:spacing w:before="0" w:beforeAutospacing="0" w:after="0" w:afterAutospacing="0"/>
        <w:jc w:val="both"/>
        <w:rPr>
          <w:rFonts w:ascii="Georgia" w:hAnsi="Georgia" w:cs="Arial"/>
          <w:color w:val="FF0000"/>
        </w:rPr>
      </w:pPr>
    </w:p>
    <w:p w14:paraId="0BE6E015" w14:textId="7F74E6BB" w:rsidR="007D434A" w:rsidRPr="00F223CF" w:rsidRDefault="003A7AA4" w:rsidP="00194354">
      <w:pPr>
        <w:pStyle w:val="yiv4264280208msonormal"/>
        <w:shd w:val="clear" w:color="auto" w:fill="FFFFFF"/>
        <w:spacing w:before="0" w:beforeAutospacing="0" w:after="0" w:afterAutospacing="0"/>
        <w:jc w:val="both"/>
        <w:rPr>
          <w:rFonts w:ascii="Georgia" w:hAnsi="Georgia" w:cs="Arial"/>
          <w:b/>
          <w:bCs/>
        </w:rPr>
      </w:pPr>
      <w:r w:rsidRPr="00F223CF">
        <w:rPr>
          <w:rFonts w:ascii="Georgia" w:hAnsi="Georgia" w:cs="Arial"/>
          <w:b/>
          <w:bCs/>
        </w:rPr>
        <w:t xml:space="preserve">The </w:t>
      </w:r>
      <w:proofErr w:type="spellStart"/>
      <w:r w:rsidRPr="00F223CF">
        <w:rPr>
          <w:rFonts w:ascii="Georgia" w:hAnsi="Georgia" w:cs="Arial"/>
          <w:b/>
          <w:bCs/>
        </w:rPr>
        <w:t>Blufftown</w:t>
      </w:r>
      <w:proofErr w:type="spellEnd"/>
      <w:r w:rsidRPr="00F223CF">
        <w:rPr>
          <w:rFonts w:ascii="Georgia" w:hAnsi="Georgia" w:cs="Arial"/>
          <w:b/>
          <w:bCs/>
        </w:rPr>
        <w:t xml:space="preserve"> Formation</w:t>
      </w:r>
      <w:r w:rsidR="007D434A" w:rsidRPr="00F223CF">
        <w:rPr>
          <w:rFonts w:ascii="Georgia" w:hAnsi="Georgia" w:cs="Arial"/>
          <w:b/>
          <w:bCs/>
        </w:rPr>
        <w:t> </w:t>
      </w:r>
    </w:p>
    <w:p w14:paraId="332F441F" w14:textId="20C082B5" w:rsidR="007D434A" w:rsidRPr="00F223CF" w:rsidRDefault="007D434A" w:rsidP="00194354">
      <w:pPr>
        <w:pStyle w:val="yiv4264280208msonormal"/>
        <w:shd w:val="clear" w:color="auto" w:fill="FFFFFF"/>
        <w:spacing w:before="0" w:beforeAutospacing="0" w:after="0" w:afterAutospacing="0"/>
        <w:jc w:val="both"/>
        <w:rPr>
          <w:rFonts w:ascii="Georgia" w:hAnsi="Georgia" w:cs="Arial"/>
          <w:color w:val="000000"/>
        </w:rPr>
      </w:pPr>
      <w:r w:rsidRPr="00F223CF">
        <w:rPr>
          <w:rFonts w:ascii="Georgia" w:hAnsi="Georgia" w:cs="Arial"/>
          <w:color w:val="000000"/>
        </w:rPr>
        <w:t xml:space="preserve">The </w:t>
      </w:r>
      <w:proofErr w:type="spellStart"/>
      <w:r w:rsidRPr="00F223CF">
        <w:rPr>
          <w:rFonts w:ascii="Georgia" w:hAnsi="Georgia" w:cs="Arial"/>
          <w:color w:val="000000"/>
        </w:rPr>
        <w:t>Blufftown</w:t>
      </w:r>
      <w:proofErr w:type="spellEnd"/>
      <w:r w:rsidRPr="00F223CF">
        <w:rPr>
          <w:rFonts w:ascii="Georgia" w:hAnsi="Georgia" w:cs="Arial"/>
          <w:color w:val="000000"/>
        </w:rPr>
        <w:t xml:space="preserve"> Formation underlies the unnamed, Cusseta equivalent formation in western Georgia and, presumably, it also grades laterally into the lower part of the Gaillard Formation. But the equivalence of both the unnamed, Cusseta-</w:t>
      </w:r>
      <w:proofErr w:type="gramStart"/>
      <w:r w:rsidRPr="00F223CF">
        <w:rPr>
          <w:rFonts w:ascii="Georgia" w:hAnsi="Georgia" w:cs="Arial"/>
          <w:color w:val="000000"/>
        </w:rPr>
        <w:t>equivalent  formation</w:t>
      </w:r>
      <w:proofErr w:type="gramEnd"/>
      <w:r w:rsidRPr="00F223CF">
        <w:rPr>
          <w:rFonts w:ascii="Georgia" w:hAnsi="Georgia" w:cs="Arial"/>
          <w:color w:val="000000"/>
        </w:rPr>
        <w:t xml:space="preserve"> and the </w:t>
      </w:r>
      <w:proofErr w:type="spellStart"/>
      <w:r w:rsidRPr="00F223CF">
        <w:rPr>
          <w:rFonts w:ascii="Georgia" w:hAnsi="Georgia" w:cs="Arial"/>
          <w:color w:val="000000"/>
        </w:rPr>
        <w:t>Blufftown</w:t>
      </w:r>
      <w:proofErr w:type="spellEnd"/>
      <w:r w:rsidRPr="00F223CF">
        <w:rPr>
          <w:rFonts w:ascii="Georgia" w:hAnsi="Georgia" w:cs="Arial"/>
          <w:color w:val="000000"/>
        </w:rPr>
        <w:t xml:space="preserve"> with kaolinitic Gaillard formation is still hypothetical because the physical lithofacies changes have not yet been demonstrated and confirmed.  The single greatest problem in the above assumed stratigraphic relationships is the lack of any regional discontinuity or lithofacies change within the Gaillard Formation that could be interpreted as an upper and lower Gaillard, that are correlative with the unnamed, Cusseta-equivalent formation and the </w:t>
      </w:r>
      <w:proofErr w:type="spellStart"/>
      <w:r w:rsidRPr="00F223CF">
        <w:rPr>
          <w:rFonts w:ascii="Georgia" w:hAnsi="Georgia" w:cs="Arial"/>
          <w:color w:val="000000"/>
        </w:rPr>
        <w:t>Blufftown</w:t>
      </w:r>
      <w:proofErr w:type="spellEnd"/>
      <w:r w:rsidRPr="00F223CF">
        <w:rPr>
          <w:rFonts w:ascii="Georgia" w:hAnsi="Georgia" w:cs="Arial"/>
          <w:color w:val="000000"/>
        </w:rPr>
        <w:t xml:space="preserve"> Formation.  </w:t>
      </w:r>
      <w:proofErr w:type="gramStart"/>
      <w:r w:rsidRPr="00F223CF">
        <w:rPr>
          <w:rFonts w:ascii="Georgia" w:hAnsi="Georgia" w:cs="Arial"/>
          <w:color w:val="000000"/>
        </w:rPr>
        <w:t>However</w:t>
      </w:r>
      <w:proofErr w:type="gramEnd"/>
      <w:r w:rsidRPr="00F223CF">
        <w:rPr>
          <w:rFonts w:ascii="Georgia" w:hAnsi="Georgia" w:cs="Arial"/>
          <w:color w:val="000000"/>
        </w:rPr>
        <w:t xml:space="preserve"> that may be, the </w:t>
      </w:r>
      <w:proofErr w:type="spellStart"/>
      <w:r w:rsidRPr="00F223CF">
        <w:rPr>
          <w:rFonts w:ascii="Georgia" w:hAnsi="Georgia" w:cs="Arial"/>
          <w:color w:val="000000"/>
        </w:rPr>
        <w:t>Blufftown</w:t>
      </w:r>
      <w:proofErr w:type="spellEnd"/>
      <w:r w:rsidRPr="00F223CF">
        <w:rPr>
          <w:rFonts w:ascii="Georgia" w:hAnsi="Georgia" w:cs="Arial"/>
          <w:color w:val="000000"/>
        </w:rPr>
        <w:t xml:space="preserve"> is a distinctive, finely sandy and very argillaceous and clayey formation in Georgia and has been correlated in the past with the </w:t>
      </w:r>
      <w:proofErr w:type="spellStart"/>
      <w:r w:rsidRPr="00F223CF">
        <w:rPr>
          <w:rFonts w:ascii="Georgia" w:hAnsi="Georgia" w:cs="Arial"/>
          <w:color w:val="000000"/>
        </w:rPr>
        <w:t>Mooreville</w:t>
      </w:r>
      <w:proofErr w:type="spellEnd"/>
      <w:r w:rsidRPr="00F223CF">
        <w:rPr>
          <w:rFonts w:ascii="Georgia" w:hAnsi="Georgia" w:cs="Arial"/>
          <w:color w:val="000000"/>
        </w:rPr>
        <w:t xml:space="preserve"> Chalk of Alabama.  The </w:t>
      </w:r>
      <w:proofErr w:type="spellStart"/>
      <w:r w:rsidRPr="00F223CF">
        <w:rPr>
          <w:rFonts w:ascii="Georgia" w:hAnsi="Georgia" w:cs="Arial"/>
          <w:color w:val="000000"/>
        </w:rPr>
        <w:t>Blufftown</w:t>
      </w:r>
      <w:proofErr w:type="spellEnd"/>
      <w:r w:rsidRPr="00F223CF">
        <w:rPr>
          <w:rFonts w:ascii="Georgia" w:hAnsi="Georgia" w:cs="Arial"/>
          <w:color w:val="000000"/>
        </w:rPr>
        <w:t xml:space="preserve"> has been identified as far downdip as Sumter County in the Danville Ferry core, and as far east as Pulaski County in the Arrowhead core; but there is no subsurface control to trace the </w:t>
      </w:r>
      <w:proofErr w:type="spellStart"/>
      <w:r w:rsidRPr="00F223CF">
        <w:rPr>
          <w:rFonts w:ascii="Georgia" w:hAnsi="Georgia" w:cs="Arial"/>
          <w:color w:val="000000"/>
        </w:rPr>
        <w:t>Blufftown</w:t>
      </w:r>
      <w:proofErr w:type="spellEnd"/>
      <w:r w:rsidRPr="00F223CF">
        <w:rPr>
          <w:rFonts w:ascii="Georgia" w:hAnsi="Georgia" w:cs="Arial"/>
          <w:color w:val="000000"/>
        </w:rPr>
        <w:t xml:space="preserve"> any farther east or downdip to the south in Georgia.</w:t>
      </w:r>
    </w:p>
    <w:p w14:paraId="37551F78" w14:textId="43F44AA1" w:rsidR="007D434A" w:rsidRPr="00F223CF" w:rsidRDefault="007D434A" w:rsidP="00194354">
      <w:pPr>
        <w:pStyle w:val="yiv4264280208msonormal"/>
        <w:shd w:val="clear" w:color="auto" w:fill="FFFFFF"/>
        <w:spacing w:before="0" w:beforeAutospacing="0" w:after="0" w:afterAutospacing="0"/>
        <w:jc w:val="both"/>
        <w:rPr>
          <w:rFonts w:ascii="Georgia" w:hAnsi="Georgia" w:cs="Arial"/>
          <w:color w:val="000000"/>
        </w:rPr>
      </w:pPr>
    </w:p>
    <w:p w14:paraId="0DDFD9B5" w14:textId="0E098D97" w:rsidR="00000B32" w:rsidRPr="00F223CF" w:rsidRDefault="00000B32" w:rsidP="00194354">
      <w:pPr>
        <w:pStyle w:val="yiv4264280208msonormal"/>
        <w:shd w:val="clear" w:color="auto" w:fill="FFFFFF"/>
        <w:spacing w:before="0" w:beforeAutospacing="0" w:after="0" w:afterAutospacing="0"/>
        <w:jc w:val="both"/>
        <w:rPr>
          <w:rFonts w:ascii="Georgia" w:hAnsi="Georgia" w:cs="Arial"/>
          <w:b/>
          <w:bCs/>
          <w:color w:val="000000"/>
        </w:rPr>
      </w:pPr>
      <w:r w:rsidRPr="00F223CF">
        <w:rPr>
          <w:rFonts w:ascii="Georgia" w:hAnsi="Georgia" w:cs="Arial"/>
          <w:b/>
          <w:bCs/>
          <w:color w:val="000000"/>
        </w:rPr>
        <w:t>The Gaillard Formation</w:t>
      </w:r>
    </w:p>
    <w:p w14:paraId="1F899188" w14:textId="7EB2B775" w:rsidR="003E44EA" w:rsidRPr="00F223CF" w:rsidRDefault="003E44EA" w:rsidP="00194354">
      <w:pPr>
        <w:pStyle w:val="yiv4264280208msonormal"/>
        <w:shd w:val="clear" w:color="auto" w:fill="FFFFFF"/>
        <w:spacing w:before="0" w:beforeAutospacing="0" w:after="0" w:afterAutospacing="0"/>
        <w:jc w:val="both"/>
        <w:rPr>
          <w:rFonts w:ascii="Georgia" w:hAnsi="Georgia" w:cs="Arial"/>
          <w:b/>
          <w:bCs/>
          <w:color w:val="000000"/>
        </w:rPr>
      </w:pPr>
      <w:r w:rsidRPr="00F223CF">
        <w:rPr>
          <w:rFonts w:ascii="Georgia" w:hAnsi="Georgia" w:cs="Arial"/>
          <w:b/>
          <w:bCs/>
          <w:color w:val="000000"/>
        </w:rPr>
        <w:t>(</w:t>
      </w:r>
      <w:r w:rsidR="00931F18" w:rsidRPr="00F223CF">
        <w:rPr>
          <w:rFonts w:ascii="Georgia" w:hAnsi="Georgia" w:cs="Arial"/>
          <w:b/>
          <w:bCs/>
          <w:color w:val="000000"/>
        </w:rPr>
        <w:t>Abandoning</w:t>
      </w:r>
      <w:r w:rsidRPr="00F223CF">
        <w:rPr>
          <w:rFonts w:ascii="Georgia" w:hAnsi="Georgia" w:cs="Arial"/>
          <w:b/>
          <w:bCs/>
          <w:color w:val="000000"/>
        </w:rPr>
        <w:t xml:space="preserve"> </w:t>
      </w:r>
      <w:r w:rsidR="00931F18" w:rsidRPr="00F223CF">
        <w:rPr>
          <w:rFonts w:ascii="Georgia" w:hAnsi="Georgia" w:cs="Arial"/>
          <w:b/>
          <w:bCs/>
          <w:color w:val="000000"/>
        </w:rPr>
        <w:t xml:space="preserve">the Term Buffalo Creek Formation) </w:t>
      </w:r>
    </w:p>
    <w:p w14:paraId="57A52000" w14:textId="77777777" w:rsidR="007D434A" w:rsidRPr="00F223CF" w:rsidRDefault="007D434A" w:rsidP="00194354">
      <w:pPr>
        <w:pStyle w:val="yiv4264280208msonormal"/>
        <w:shd w:val="clear" w:color="auto" w:fill="FFFFFF"/>
        <w:spacing w:before="0" w:beforeAutospacing="0" w:after="0" w:afterAutospacing="0"/>
        <w:jc w:val="both"/>
        <w:rPr>
          <w:rFonts w:ascii="Georgia" w:hAnsi="Georgia" w:cs="Arial"/>
          <w:color w:val="000000"/>
        </w:rPr>
      </w:pPr>
      <w:r w:rsidRPr="00F223CF">
        <w:rPr>
          <w:rFonts w:ascii="Georgia" w:hAnsi="Georgia" w:cs="Arial"/>
          <w:color w:val="000000"/>
        </w:rPr>
        <w:t xml:space="preserve">The Gaillard Formation is the principal soft kaolin Formation in the Georgia Coastal Plain.  The main kaolin-bearing lenses are at the top of the formation; none of the available GGS cores have penetrated thick, mineable kaolin lenses below the top of the formation.  Only two core logs in my possession, both from Georgia Kaolin Company </w:t>
      </w:r>
      <w:r w:rsidRPr="00F223CF">
        <w:rPr>
          <w:rFonts w:ascii="Georgia" w:hAnsi="Georgia" w:cs="Arial"/>
          <w:color w:val="000000"/>
        </w:rPr>
        <w:lastRenderedPageBreak/>
        <w:t xml:space="preserve">cores, contain both the upper minable kaolin and the underlying Gaillard sands.  Sam Pickering originally described the Gaillard Formation as the Buffalo Creek Formation and described it as occurring to basement.  However, there are two formations beneath the Gaillard in the kaolin mining district: the underlying Pio Nino Formation and the Cape Fear Formation.  </w:t>
      </w:r>
      <w:proofErr w:type="spellStart"/>
      <w:r w:rsidRPr="00F223CF">
        <w:rPr>
          <w:rFonts w:ascii="Georgia" w:hAnsi="Georgia" w:cs="Arial"/>
          <w:color w:val="000000"/>
        </w:rPr>
        <w:t>Huddlestun</w:t>
      </w:r>
      <w:proofErr w:type="spellEnd"/>
      <w:r w:rsidRPr="00F223CF">
        <w:rPr>
          <w:rFonts w:ascii="Georgia" w:hAnsi="Georgia" w:cs="Arial"/>
          <w:color w:val="000000"/>
        </w:rPr>
        <w:t xml:space="preserve"> in 1991 cautioned that the Buffalo Creek formation did not occur to basement and that the Codes of Stratigraphic Nomenclature should be followed wherever possible and not confusing.  In addition, the underlying sand lithofacies of the proposed Buffalo Creek formation (the dominant lithology of the formation) is not exposed in kaolin pits or in outcrops in the kaolin mining districts.  </w:t>
      </w:r>
      <w:proofErr w:type="spellStart"/>
      <w:r w:rsidRPr="00F223CF">
        <w:rPr>
          <w:rFonts w:ascii="Georgia" w:hAnsi="Georgia" w:cs="Arial"/>
          <w:color w:val="000000"/>
        </w:rPr>
        <w:t>Huddlestun</w:t>
      </w:r>
      <w:proofErr w:type="spellEnd"/>
      <w:r w:rsidRPr="00F223CF">
        <w:rPr>
          <w:rFonts w:ascii="Georgia" w:hAnsi="Georgia" w:cs="Arial"/>
          <w:color w:val="000000"/>
        </w:rPr>
        <w:t xml:space="preserve"> proposed, on the other hand, that Pickering’s Buffalo Creek should be restricted to the mineable kaolin as the Buffalo Creek Member of the Gaillard Formation because the soft kaolin is essentially what Pickering was describing for the Buffalo Creek formation.  Additionally, stratigraphic members do not necessarily have to be continuous and mappable (even though this adjustment to member status is also contrary to the Code).  However, the geologists in the kaolin mining industry still use the term Buffalo Creek in the original sense.  As a result, I would suggest abandoning the name Buffalo Creek altogether because the name is confusing and contrary to Code usage.</w:t>
      </w:r>
    </w:p>
    <w:p w14:paraId="74C97EEE" w14:textId="77777777" w:rsidR="007D434A" w:rsidRPr="00F223CF" w:rsidRDefault="007D434A" w:rsidP="00194354">
      <w:pPr>
        <w:pStyle w:val="yiv4264280208msonormal"/>
        <w:shd w:val="clear" w:color="auto" w:fill="FFFFFF"/>
        <w:spacing w:before="0" w:beforeAutospacing="0" w:after="0" w:afterAutospacing="0"/>
        <w:jc w:val="both"/>
        <w:rPr>
          <w:rFonts w:ascii="Georgia" w:hAnsi="Georgia" w:cs="Arial"/>
          <w:color w:val="000000"/>
        </w:rPr>
      </w:pPr>
      <w:r w:rsidRPr="00F223CF">
        <w:rPr>
          <w:rFonts w:ascii="Georgia" w:hAnsi="Georgia" w:cs="Arial"/>
          <w:color w:val="000000"/>
        </w:rPr>
        <w:t> </w:t>
      </w:r>
    </w:p>
    <w:p w14:paraId="711775FB" w14:textId="77777777" w:rsidR="007D434A" w:rsidRPr="00F223CF" w:rsidRDefault="007D434A" w:rsidP="00194354">
      <w:pPr>
        <w:pStyle w:val="yiv4264280208msonormal"/>
        <w:shd w:val="clear" w:color="auto" w:fill="FFFFFF"/>
        <w:spacing w:before="0" w:beforeAutospacing="0" w:after="0" w:afterAutospacing="0"/>
        <w:jc w:val="both"/>
        <w:rPr>
          <w:rFonts w:ascii="Georgia" w:hAnsi="Georgia" w:cs="Arial"/>
          <w:color w:val="000000"/>
        </w:rPr>
      </w:pPr>
      <w:r w:rsidRPr="00F223CF">
        <w:rPr>
          <w:rFonts w:ascii="Georgia" w:hAnsi="Georgia" w:cs="Arial"/>
          <w:color w:val="000000"/>
        </w:rPr>
        <w:t xml:space="preserve">The Middendorf Formation of South Carolina is stratigraphically equivalent to the Gaillard Formation.  The lithologies of the two formations are similar but so are the lithologies of the Marshallville </w:t>
      </w:r>
      <w:proofErr w:type="gramStart"/>
      <w:r w:rsidRPr="00F223CF">
        <w:rPr>
          <w:rFonts w:ascii="Georgia" w:hAnsi="Georgia" w:cs="Arial"/>
          <w:color w:val="000000"/>
        </w:rPr>
        <w:t>similar to</w:t>
      </w:r>
      <w:proofErr w:type="gramEnd"/>
      <w:r w:rsidRPr="00F223CF">
        <w:rPr>
          <w:rFonts w:ascii="Georgia" w:hAnsi="Georgia" w:cs="Arial"/>
          <w:color w:val="000000"/>
        </w:rPr>
        <w:t xml:space="preserve"> the lithologies of the Gaillard and Middendorf. There have not been sufficient stratigraphic studies to show that the lithologies between the Middendorf and Gaillard are similar enough for the two formations to have one name </w:t>
      </w:r>
      <w:proofErr w:type="gramStart"/>
      <w:r w:rsidRPr="00F223CF">
        <w:rPr>
          <w:rFonts w:ascii="Georgia" w:hAnsi="Georgia" w:cs="Arial"/>
          <w:color w:val="000000"/>
        </w:rPr>
        <w:t>at this time</w:t>
      </w:r>
      <w:proofErr w:type="gramEnd"/>
      <w:r w:rsidRPr="00F223CF">
        <w:rPr>
          <w:rFonts w:ascii="Georgia" w:hAnsi="Georgia" w:cs="Arial"/>
          <w:color w:val="000000"/>
        </w:rPr>
        <w:t>.  Discouraging such an effort is the distance between the two type localities, the Gaillard being in west central Georgia near the Flint River and the Middendorf being in eastern South Carolina, in Chesterfield County.</w:t>
      </w:r>
    </w:p>
    <w:p w14:paraId="2C161266" w14:textId="77777777" w:rsidR="007D434A" w:rsidRPr="00F223CF" w:rsidRDefault="007D434A" w:rsidP="00194354">
      <w:pPr>
        <w:pStyle w:val="yiv4264280208msonormal"/>
        <w:shd w:val="clear" w:color="auto" w:fill="FFFFFF"/>
        <w:spacing w:before="0" w:beforeAutospacing="0" w:after="0" w:afterAutospacing="0"/>
        <w:jc w:val="both"/>
        <w:rPr>
          <w:rFonts w:ascii="Georgia" w:hAnsi="Georgia" w:cs="Arial"/>
          <w:color w:val="000000"/>
        </w:rPr>
      </w:pPr>
      <w:r w:rsidRPr="00F223CF">
        <w:rPr>
          <w:rFonts w:ascii="Georgia" w:hAnsi="Georgia" w:cs="Arial"/>
          <w:color w:val="000000"/>
        </w:rPr>
        <w:t> </w:t>
      </w:r>
    </w:p>
    <w:p w14:paraId="65CCA267" w14:textId="19F178EE" w:rsidR="007D434A" w:rsidRPr="00F223CF" w:rsidRDefault="007D434A" w:rsidP="00194354">
      <w:pPr>
        <w:pStyle w:val="yiv4264280208msonormal"/>
        <w:shd w:val="clear" w:color="auto" w:fill="FFFFFF"/>
        <w:spacing w:before="0" w:beforeAutospacing="0" w:after="0" w:afterAutospacing="0"/>
        <w:jc w:val="both"/>
        <w:rPr>
          <w:rFonts w:ascii="Georgia" w:hAnsi="Georgia" w:cs="Arial"/>
          <w:color w:val="000000"/>
        </w:rPr>
      </w:pPr>
      <w:r w:rsidRPr="00F223CF">
        <w:rPr>
          <w:rFonts w:ascii="Georgia" w:hAnsi="Georgia" w:cs="Arial"/>
          <w:color w:val="000000"/>
        </w:rPr>
        <w:t>In Georgia, the Gaillard Formation extends eastward from Taylor County, west of the Flint River, to the Savannah River in Richmond and Burke Counties.  In southern Burke County the lower part of the Gaillard appears to be grading into a marine unit that would be the Black Creek Formation of South Carolina.  At least, what may be Black Creek Formation is certainly not the unnamed Cusseta-equivalent formation of western Georgia.  In addition, immediately across the Savannah River from southernmost Bu</w:t>
      </w:r>
      <w:r w:rsidR="00A63417" w:rsidRPr="00F223CF">
        <w:rPr>
          <w:rFonts w:ascii="Georgia" w:hAnsi="Georgia" w:cs="Arial"/>
          <w:color w:val="000000"/>
        </w:rPr>
        <w:t>r</w:t>
      </w:r>
      <w:r w:rsidRPr="00F223CF">
        <w:rPr>
          <w:rFonts w:ascii="Georgia" w:hAnsi="Georgia" w:cs="Arial"/>
          <w:color w:val="000000"/>
        </w:rPr>
        <w:t xml:space="preserve">ke County, the Gaillard Formation has mostly graded downdip into the Black Creek Formation.  The lithofacies change from the Gaillard into the Black Creek should be accomplished in northern Screven County.  Somewhere between Laurens County and Burke/Screven Counties, </w:t>
      </w:r>
      <w:proofErr w:type="gramStart"/>
      <w:r w:rsidRPr="00F223CF">
        <w:rPr>
          <w:rFonts w:ascii="Georgia" w:hAnsi="Georgia" w:cs="Arial"/>
          <w:color w:val="000000"/>
        </w:rPr>
        <w:t>on the basis of</w:t>
      </w:r>
      <w:proofErr w:type="gramEnd"/>
      <w:r w:rsidRPr="00F223CF">
        <w:rPr>
          <w:rFonts w:ascii="Georgia" w:hAnsi="Georgia" w:cs="Arial"/>
          <w:color w:val="000000"/>
        </w:rPr>
        <w:t xml:space="preserve"> the above discussion, the unnamed Cusseta-equivalent formation and the </w:t>
      </w:r>
      <w:proofErr w:type="spellStart"/>
      <w:r w:rsidRPr="00F223CF">
        <w:rPr>
          <w:rFonts w:ascii="Georgia" w:hAnsi="Georgia" w:cs="Arial"/>
          <w:color w:val="000000"/>
        </w:rPr>
        <w:t>Blufftown</w:t>
      </w:r>
      <w:proofErr w:type="spellEnd"/>
      <w:r w:rsidRPr="00F223CF">
        <w:rPr>
          <w:rFonts w:ascii="Georgia" w:hAnsi="Georgia" w:cs="Arial"/>
          <w:color w:val="000000"/>
        </w:rPr>
        <w:t xml:space="preserve"> should grade laterally into the Black Creek Formation of the southern Atlantic Coastal Plain.</w:t>
      </w:r>
    </w:p>
    <w:p w14:paraId="767F30F7" w14:textId="75C3ED8A" w:rsidR="007D434A" w:rsidRPr="00F223CF" w:rsidRDefault="007D434A" w:rsidP="00194354">
      <w:pPr>
        <w:pStyle w:val="yiv4264280208msonormal"/>
        <w:shd w:val="clear" w:color="auto" w:fill="FFFFFF"/>
        <w:spacing w:before="0" w:beforeAutospacing="0" w:after="0" w:afterAutospacing="0"/>
        <w:jc w:val="both"/>
        <w:rPr>
          <w:rFonts w:ascii="Georgia" w:hAnsi="Georgia" w:cs="Arial"/>
          <w:b/>
          <w:bCs/>
          <w:color w:val="000000"/>
        </w:rPr>
      </w:pPr>
      <w:r w:rsidRPr="00F223CF">
        <w:rPr>
          <w:rFonts w:ascii="Georgia" w:hAnsi="Georgia" w:cs="Arial"/>
          <w:b/>
          <w:bCs/>
          <w:color w:val="000000"/>
        </w:rPr>
        <w:t> </w:t>
      </w:r>
    </w:p>
    <w:p w14:paraId="787CB0C7" w14:textId="65C407D5" w:rsidR="00AE2AF7" w:rsidRPr="00F223CF" w:rsidRDefault="00AE2AF7" w:rsidP="00194354">
      <w:pPr>
        <w:pStyle w:val="yiv4264280208msonormal"/>
        <w:shd w:val="clear" w:color="auto" w:fill="FFFFFF"/>
        <w:spacing w:before="0" w:beforeAutospacing="0" w:after="0" w:afterAutospacing="0"/>
        <w:jc w:val="both"/>
        <w:rPr>
          <w:rFonts w:ascii="Georgia" w:hAnsi="Georgia" w:cs="Arial"/>
          <w:color w:val="000000"/>
        </w:rPr>
      </w:pPr>
      <w:r w:rsidRPr="00F223CF">
        <w:rPr>
          <w:rFonts w:ascii="Georgia" w:hAnsi="Georgia" w:cs="Arial"/>
          <w:b/>
          <w:bCs/>
          <w:color w:val="000000"/>
        </w:rPr>
        <w:t>The Eutaw Formation</w:t>
      </w:r>
    </w:p>
    <w:p w14:paraId="138ACBA6" w14:textId="77777777" w:rsidR="00621F02" w:rsidRPr="00F223CF" w:rsidRDefault="007D434A" w:rsidP="00194354">
      <w:pPr>
        <w:pStyle w:val="yiv4264280208msonormal"/>
        <w:shd w:val="clear" w:color="auto" w:fill="FFFFFF"/>
        <w:spacing w:before="0" w:beforeAutospacing="0" w:after="0" w:afterAutospacing="0"/>
        <w:jc w:val="both"/>
        <w:rPr>
          <w:rFonts w:ascii="Georgia" w:hAnsi="Georgia" w:cs="Arial"/>
          <w:color w:val="000000"/>
        </w:rPr>
      </w:pPr>
      <w:r w:rsidRPr="00F223CF">
        <w:rPr>
          <w:rFonts w:ascii="Georgia" w:hAnsi="Georgia" w:cs="Arial"/>
          <w:color w:val="000000"/>
        </w:rPr>
        <w:lastRenderedPageBreak/>
        <w:t xml:space="preserve">The Eutaw Formation underlies the </w:t>
      </w:r>
      <w:proofErr w:type="spellStart"/>
      <w:r w:rsidRPr="00F223CF">
        <w:rPr>
          <w:rFonts w:ascii="Georgia" w:hAnsi="Georgia" w:cs="Arial"/>
          <w:color w:val="000000"/>
        </w:rPr>
        <w:t>Blufftown</w:t>
      </w:r>
      <w:proofErr w:type="spellEnd"/>
      <w:r w:rsidRPr="00F223CF">
        <w:rPr>
          <w:rFonts w:ascii="Georgia" w:hAnsi="Georgia" w:cs="Arial"/>
          <w:color w:val="000000"/>
        </w:rPr>
        <w:t xml:space="preserve"> Formation and crops out in the Columbus area of Georgia.  However, the Eutaw has not been penetrated by any of the GGS cores in that area.  The Eutaw is a shoreface formation and its offshore, shelf bottom lithofacies is an undiscovered stratigraphic unit at the current time.  However, the Eutaw grades </w:t>
      </w:r>
      <w:proofErr w:type="spellStart"/>
      <w:r w:rsidRPr="00F223CF">
        <w:rPr>
          <w:rFonts w:ascii="Georgia" w:hAnsi="Georgia" w:cs="Arial"/>
          <w:color w:val="000000"/>
        </w:rPr>
        <w:t>updip</w:t>
      </w:r>
      <w:proofErr w:type="spellEnd"/>
      <w:r w:rsidRPr="00F223CF">
        <w:rPr>
          <w:rFonts w:ascii="Georgia" w:hAnsi="Georgia" w:cs="Arial"/>
          <w:color w:val="000000"/>
        </w:rPr>
        <w:t xml:space="preserve"> in the Columbus area into the Pio Nino Formation, a distinctive formation of the Oconee Group. </w:t>
      </w:r>
    </w:p>
    <w:p w14:paraId="508FB36C" w14:textId="33E31924" w:rsidR="00621F02" w:rsidRPr="00F223CF" w:rsidRDefault="00621F02" w:rsidP="00194354">
      <w:pPr>
        <w:pStyle w:val="yiv4264280208msonormal"/>
        <w:shd w:val="clear" w:color="auto" w:fill="FFFFFF"/>
        <w:spacing w:before="0" w:beforeAutospacing="0" w:after="0" w:afterAutospacing="0"/>
        <w:jc w:val="both"/>
        <w:rPr>
          <w:rFonts w:ascii="Georgia" w:hAnsi="Georgia" w:cs="Arial"/>
          <w:color w:val="000000"/>
        </w:rPr>
      </w:pPr>
    </w:p>
    <w:p w14:paraId="2A484AED" w14:textId="78D270CF" w:rsidR="00621F02" w:rsidRPr="00F223CF" w:rsidRDefault="00621F02" w:rsidP="00194354">
      <w:pPr>
        <w:pStyle w:val="yiv4264280208msonormal"/>
        <w:shd w:val="clear" w:color="auto" w:fill="FFFFFF"/>
        <w:spacing w:before="0" w:beforeAutospacing="0" w:after="0" w:afterAutospacing="0"/>
        <w:jc w:val="both"/>
        <w:rPr>
          <w:rFonts w:ascii="Georgia" w:hAnsi="Georgia" w:cs="Arial"/>
          <w:b/>
          <w:bCs/>
          <w:color w:val="000000"/>
        </w:rPr>
      </w:pPr>
      <w:r w:rsidRPr="00F223CF">
        <w:rPr>
          <w:rFonts w:ascii="Georgia" w:hAnsi="Georgia" w:cs="Arial"/>
          <w:b/>
          <w:bCs/>
          <w:color w:val="000000"/>
        </w:rPr>
        <w:t xml:space="preserve">The Pio </w:t>
      </w:r>
      <w:proofErr w:type="spellStart"/>
      <w:r w:rsidRPr="00F223CF">
        <w:rPr>
          <w:rFonts w:ascii="Georgia" w:hAnsi="Georgia" w:cs="Arial"/>
          <w:b/>
          <w:bCs/>
          <w:color w:val="000000"/>
        </w:rPr>
        <w:t>Nono</w:t>
      </w:r>
      <w:proofErr w:type="spellEnd"/>
      <w:r w:rsidRPr="00F223CF">
        <w:rPr>
          <w:rFonts w:ascii="Georgia" w:hAnsi="Georgia" w:cs="Arial"/>
          <w:b/>
          <w:bCs/>
          <w:color w:val="000000"/>
        </w:rPr>
        <w:t xml:space="preserve"> Formation</w:t>
      </w:r>
    </w:p>
    <w:p w14:paraId="088674FC" w14:textId="0042F8A0" w:rsidR="007D434A" w:rsidRPr="00F223CF" w:rsidRDefault="007D434A" w:rsidP="00194354">
      <w:pPr>
        <w:pStyle w:val="yiv4264280208msonormal"/>
        <w:shd w:val="clear" w:color="auto" w:fill="FFFFFF"/>
        <w:spacing w:before="0" w:beforeAutospacing="0" w:after="0" w:afterAutospacing="0"/>
        <w:jc w:val="both"/>
        <w:rPr>
          <w:rFonts w:ascii="Georgia" w:hAnsi="Georgia" w:cs="Arial"/>
          <w:color w:val="000000"/>
        </w:rPr>
      </w:pPr>
      <w:r w:rsidRPr="00F223CF">
        <w:rPr>
          <w:rFonts w:ascii="Georgia" w:hAnsi="Georgia" w:cs="Arial"/>
          <w:color w:val="000000"/>
        </w:rPr>
        <w:t xml:space="preserve">The Pio Nino is widespread in the Fall Line area of the west-central and central Coastal Plain of Georgia and directly overlies crystalline basement at the Fall line, at least from the vicinity of Junction City, where it is mined for sand, to the vicinity of Jones County in the east.  East of Jones County, the Pio Nino Formation appears to be overlapped by younger formations and its </w:t>
      </w:r>
      <w:proofErr w:type="spellStart"/>
      <w:r w:rsidRPr="00F223CF">
        <w:rPr>
          <w:rFonts w:ascii="Georgia" w:hAnsi="Georgia" w:cs="Arial"/>
          <w:color w:val="000000"/>
        </w:rPr>
        <w:t>updip</w:t>
      </w:r>
      <w:proofErr w:type="spellEnd"/>
      <w:r w:rsidRPr="00F223CF">
        <w:rPr>
          <w:rFonts w:ascii="Georgia" w:hAnsi="Georgia" w:cs="Arial"/>
          <w:color w:val="000000"/>
        </w:rPr>
        <w:t xml:space="preserve"> limits occur in the subsurface.  In the Bath core in southern Richmond County, the Gaillard Formation directly overlies phyllite basement, the Pio </w:t>
      </w:r>
      <w:proofErr w:type="spellStart"/>
      <w:r w:rsidRPr="00F223CF">
        <w:rPr>
          <w:rFonts w:ascii="Georgia" w:hAnsi="Georgia" w:cs="Arial"/>
          <w:color w:val="000000"/>
        </w:rPr>
        <w:t>Nono</w:t>
      </w:r>
      <w:proofErr w:type="spellEnd"/>
      <w:r w:rsidRPr="00F223CF">
        <w:rPr>
          <w:rFonts w:ascii="Georgia" w:hAnsi="Georgia" w:cs="Arial"/>
          <w:color w:val="000000"/>
        </w:rPr>
        <w:t xml:space="preserve"> being absent.  So far, the Pio Nino Formation is not known to occur in Richmond County but is 173 feet thick in the Millers Pond core in Burke County, not far from </w:t>
      </w:r>
      <w:proofErr w:type="spellStart"/>
      <w:r w:rsidRPr="00F223CF">
        <w:rPr>
          <w:rFonts w:ascii="Georgia" w:hAnsi="Georgia" w:cs="Arial"/>
          <w:color w:val="000000"/>
        </w:rPr>
        <w:t>McBean</w:t>
      </w:r>
      <w:proofErr w:type="spellEnd"/>
      <w:r w:rsidRPr="00F223CF">
        <w:rPr>
          <w:rFonts w:ascii="Georgia" w:hAnsi="Georgia" w:cs="Arial"/>
          <w:color w:val="000000"/>
        </w:rPr>
        <w:t xml:space="preserve">, Georgia.  It appears that somewhere in the vicinity of </w:t>
      </w:r>
      <w:proofErr w:type="spellStart"/>
      <w:r w:rsidRPr="00F223CF">
        <w:rPr>
          <w:rFonts w:ascii="Georgia" w:hAnsi="Georgia" w:cs="Arial"/>
          <w:color w:val="000000"/>
        </w:rPr>
        <w:t>McBean</w:t>
      </w:r>
      <w:proofErr w:type="spellEnd"/>
      <w:r w:rsidRPr="00F223CF">
        <w:rPr>
          <w:rFonts w:ascii="Georgia" w:hAnsi="Georgia" w:cs="Arial"/>
          <w:color w:val="000000"/>
        </w:rPr>
        <w:t xml:space="preserve"> Creek, both the Pio Nino Formation and the underlying Cape Fear Formation appear </w:t>
      </w:r>
      <w:proofErr w:type="gramStart"/>
      <w:r w:rsidRPr="00F223CF">
        <w:rPr>
          <w:rFonts w:ascii="Georgia" w:hAnsi="Georgia" w:cs="Arial"/>
          <w:color w:val="000000"/>
        </w:rPr>
        <w:t>suddenly</w:t>
      </w:r>
      <w:proofErr w:type="gramEnd"/>
      <w:r w:rsidRPr="00F223CF">
        <w:rPr>
          <w:rFonts w:ascii="Georgia" w:hAnsi="Georgia" w:cs="Arial"/>
          <w:color w:val="000000"/>
        </w:rPr>
        <w:t xml:space="preserve"> and both thicken very rapidly.  In several downdip cores across Georgia, it appears that the Pio Nino Formation is beginning to grade laterally and transition downdip into a marine, sandy formation.  However, the core locations are too far </w:t>
      </w:r>
      <w:proofErr w:type="spellStart"/>
      <w:r w:rsidRPr="00F223CF">
        <w:rPr>
          <w:rFonts w:ascii="Georgia" w:hAnsi="Georgia" w:cs="Arial"/>
          <w:color w:val="000000"/>
        </w:rPr>
        <w:t>updip</w:t>
      </w:r>
      <w:proofErr w:type="spellEnd"/>
      <w:r w:rsidRPr="00F223CF">
        <w:rPr>
          <w:rFonts w:ascii="Georgia" w:hAnsi="Georgia" w:cs="Arial"/>
          <w:color w:val="000000"/>
        </w:rPr>
        <w:t xml:space="preserve"> to determine the nature of this downdip, coastal or marine stratigraphic unit. As for its eastern extent, while in the </w:t>
      </w:r>
      <w:proofErr w:type="gramStart"/>
      <w:r w:rsidRPr="00F223CF">
        <w:rPr>
          <w:rFonts w:ascii="Georgia" w:hAnsi="Georgia" w:cs="Arial"/>
          <w:color w:val="000000"/>
        </w:rPr>
        <w:t>type</w:t>
      </w:r>
      <w:proofErr w:type="gramEnd"/>
      <w:r w:rsidRPr="00F223CF">
        <w:rPr>
          <w:rFonts w:ascii="Georgia" w:hAnsi="Georgia" w:cs="Arial"/>
          <w:color w:val="000000"/>
        </w:rPr>
        <w:t xml:space="preserve"> area of the Middendorf Formation, I noted a nearby roadcut that exposed Pio Nino lithology, indicating that the Pio Nino may occur in the Fall Line area across South Carolina.</w:t>
      </w:r>
    </w:p>
    <w:p w14:paraId="2942A7C3" w14:textId="6E299312" w:rsidR="007D434A" w:rsidRPr="00F223CF" w:rsidRDefault="007D434A" w:rsidP="00194354">
      <w:pPr>
        <w:pStyle w:val="yiv4264280208msonormal"/>
        <w:shd w:val="clear" w:color="auto" w:fill="FFFFFF"/>
        <w:spacing w:before="0" w:beforeAutospacing="0" w:after="0" w:afterAutospacing="0"/>
        <w:jc w:val="both"/>
        <w:rPr>
          <w:rFonts w:ascii="Georgia" w:hAnsi="Georgia" w:cs="Arial"/>
          <w:b/>
          <w:bCs/>
          <w:color w:val="000000"/>
        </w:rPr>
      </w:pPr>
    </w:p>
    <w:p w14:paraId="4BFC12C6" w14:textId="58253B29" w:rsidR="00696D06" w:rsidRPr="00F223CF" w:rsidRDefault="00696D06" w:rsidP="00194354">
      <w:pPr>
        <w:pStyle w:val="yiv4264280208msonormal"/>
        <w:shd w:val="clear" w:color="auto" w:fill="FFFFFF"/>
        <w:spacing w:before="0" w:beforeAutospacing="0" w:after="0" w:afterAutospacing="0"/>
        <w:jc w:val="both"/>
        <w:rPr>
          <w:rFonts w:ascii="Georgia" w:hAnsi="Georgia" w:cs="Arial"/>
          <w:color w:val="000000"/>
        </w:rPr>
      </w:pPr>
      <w:r w:rsidRPr="00F223CF">
        <w:rPr>
          <w:rFonts w:ascii="Georgia" w:hAnsi="Georgia" w:cs="Arial"/>
          <w:b/>
          <w:bCs/>
          <w:color w:val="000000"/>
        </w:rPr>
        <w:t>The Cape Fear Formation</w:t>
      </w:r>
    </w:p>
    <w:p w14:paraId="7D2AB0DD" w14:textId="77777777" w:rsidR="007D434A" w:rsidRPr="00F223CF" w:rsidRDefault="007D434A" w:rsidP="00194354">
      <w:pPr>
        <w:pStyle w:val="yiv4264280208msonormal"/>
        <w:shd w:val="clear" w:color="auto" w:fill="FFFFFF"/>
        <w:spacing w:before="0" w:beforeAutospacing="0" w:after="0" w:afterAutospacing="0"/>
        <w:jc w:val="both"/>
        <w:rPr>
          <w:rFonts w:ascii="Georgia" w:hAnsi="Georgia" w:cs="Arial"/>
          <w:color w:val="000000"/>
        </w:rPr>
      </w:pPr>
      <w:r w:rsidRPr="00F223CF">
        <w:rPr>
          <w:rFonts w:ascii="Georgia" w:hAnsi="Georgia" w:cs="Arial"/>
          <w:color w:val="000000"/>
        </w:rPr>
        <w:t xml:space="preserve">The Cape Fear Formation is one of the most distinctive formations in the southeastern Coastal Plain.  It consists of a stack of thin to very thick bedded, fining upward sequences, some of which are truncated.  The fining upward sequences of the Cape Fear Formation are exceptionally thin compared to the other formations of the Oconee Group, of which the Cape Fear is a subdivision.  The Cape Fear is a formation of the southern Atlantic Coastal Plain and the name is taken from the Cape Fear River in North Carolina.  In Georgia, it is the basal formation in the Coastal Plain where it occurs, and its known western extent in Georgia is the Warner Robins area and the </w:t>
      </w:r>
      <w:proofErr w:type="spellStart"/>
      <w:r w:rsidRPr="00F223CF">
        <w:rPr>
          <w:rFonts w:ascii="Georgia" w:hAnsi="Georgia" w:cs="Arial"/>
          <w:color w:val="000000"/>
        </w:rPr>
        <w:t>Elberta</w:t>
      </w:r>
      <w:proofErr w:type="spellEnd"/>
      <w:r w:rsidRPr="00F223CF">
        <w:rPr>
          <w:rFonts w:ascii="Georgia" w:hAnsi="Georgia" w:cs="Arial"/>
          <w:color w:val="000000"/>
        </w:rPr>
        <w:t xml:space="preserve"> core in Houston County.  The Cape Fear Formation is overlapped by younger formations and is not exposed in </w:t>
      </w:r>
      <w:proofErr w:type="gramStart"/>
      <w:r w:rsidRPr="00F223CF">
        <w:rPr>
          <w:rFonts w:ascii="Georgia" w:hAnsi="Georgia" w:cs="Arial"/>
          <w:color w:val="000000"/>
        </w:rPr>
        <w:t>outcrop,</w:t>
      </w:r>
      <w:proofErr w:type="gramEnd"/>
      <w:r w:rsidRPr="00F223CF">
        <w:rPr>
          <w:rFonts w:ascii="Georgia" w:hAnsi="Georgia" w:cs="Arial"/>
          <w:color w:val="000000"/>
        </w:rPr>
        <w:t xml:space="preserve"> therefore it is not present at the Fall Line.  It probably occurs in a relatively narrow band and appears to begin grading downdip into another formation (possibly the Atkinson Formation of southern Georgia and Florida) in the Arrowhead core in Pulaski County.  It also probably grades westward into the Oconee-like formation in the Columbus/Phenix City, Alabama area that has been called Tuscaloosa.</w:t>
      </w:r>
    </w:p>
    <w:p w14:paraId="69D003FF" w14:textId="7FB9AA6A" w:rsidR="007D434A" w:rsidRPr="00F223CF" w:rsidRDefault="007D434A" w:rsidP="00194354">
      <w:pPr>
        <w:pStyle w:val="yiv4264280208msonormal"/>
        <w:shd w:val="clear" w:color="auto" w:fill="FFFFFF"/>
        <w:spacing w:before="0" w:beforeAutospacing="0" w:after="0" w:afterAutospacing="0"/>
        <w:jc w:val="both"/>
        <w:rPr>
          <w:rFonts w:ascii="Georgia" w:hAnsi="Georgia" w:cs="Arial"/>
          <w:color w:val="000000"/>
        </w:rPr>
      </w:pPr>
    </w:p>
    <w:p w14:paraId="1BD75C59" w14:textId="243A731E" w:rsidR="004F542D" w:rsidRPr="00F223CF" w:rsidRDefault="004F542D" w:rsidP="00194354">
      <w:pPr>
        <w:pStyle w:val="yiv4264280208msonormal"/>
        <w:shd w:val="clear" w:color="auto" w:fill="FFFFFF"/>
        <w:spacing w:before="0" w:beforeAutospacing="0" w:after="0" w:afterAutospacing="0"/>
        <w:jc w:val="both"/>
        <w:rPr>
          <w:rFonts w:ascii="Georgia" w:hAnsi="Georgia" w:cs="Arial"/>
          <w:b/>
          <w:bCs/>
          <w:color w:val="000000"/>
        </w:rPr>
      </w:pPr>
      <w:r w:rsidRPr="00F223CF">
        <w:rPr>
          <w:rFonts w:ascii="Georgia" w:hAnsi="Georgia" w:cs="Arial"/>
          <w:b/>
          <w:bCs/>
          <w:color w:val="000000"/>
        </w:rPr>
        <w:lastRenderedPageBreak/>
        <w:t>Gulf Trough &amp; Suwannee Strait</w:t>
      </w:r>
    </w:p>
    <w:p w14:paraId="6C363543" w14:textId="1318CF16" w:rsidR="007D434A" w:rsidRPr="00F223CF" w:rsidRDefault="007D434A" w:rsidP="00194354">
      <w:pPr>
        <w:pStyle w:val="yiv4264280208msonormal"/>
        <w:shd w:val="clear" w:color="auto" w:fill="FFFFFF"/>
        <w:spacing w:before="0" w:beforeAutospacing="0" w:after="0" w:afterAutospacing="0"/>
        <w:jc w:val="both"/>
        <w:rPr>
          <w:rFonts w:ascii="Georgia" w:hAnsi="Georgia" w:cs="Arial"/>
          <w:color w:val="000000"/>
        </w:rPr>
      </w:pPr>
      <w:r w:rsidRPr="00F223CF">
        <w:rPr>
          <w:rFonts w:ascii="Georgia" w:hAnsi="Georgia" w:cs="Arial"/>
          <w:color w:val="000000"/>
        </w:rPr>
        <w:t xml:space="preserve">There are two areas in Georgia that contain formations </w:t>
      </w:r>
      <w:proofErr w:type="gramStart"/>
      <w:r w:rsidRPr="00F223CF">
        <w:rPr>
          <w:rFonts w:ascii="Georgia" w:hAnsi="Georgia" w:cs="Arial"/>
          <w:color w:val="000000"/>
        </w:rPr>
        <w:t>not present</w:t>
      </w:r>
      <w:proofErr w:type="gramEnd"/>
      <w:r w:rsidRPr="00F223CF">
        <w:rPr>
          <w:rFonts w:ascii="Georgia" w:hAnsi="Georgia" w:cs="Arial"/>
          <w:color w:val="000000"/>
        </w:rPr>
        <w:t xml:space="preserve"> elsewhere: the Gulf Trough and</w:t>
      </w:r>
      <w:r w:rsidR="000047C7" w:rsidRPr="00F223CF">
        <w:rPr>
          <w:rFonts w:ascii="Georgia" w:hAnsi="Georgia" w:cs="Arial"/>
          <w:color w:val="000000"/>
        </w:rPr>
        <w:t xml:space="preserve"> </w:t>
      </w:r>
      <w:r w:rsidRPr="00F223CF">
        <w:rPr>
          <w:rFonts w:ascii="Georgia" w:hAnsi="Georgia" w:cs="Arial"/>
          <w:color w:val="000000"/>
        </w:rPr>
        <w:t xml:space="preserve">the Suwannee Strait.  Some of the Gulf Trough formations have been described, and some with new names, by </w:t>
      </w:r>
      <w:proofErr w:type="spellStart"/>
      <w:r w:rsidRPr="00F223CF">
        <w:rPr>
          <w:rFonts w:ascii="Georgia" w:hAnsi="Georgia" w:cs="Arial"/>
          <w:color w:val="000000"/>
        </w:rPr>
        <w:t>Huddlestun</w:t>
      </w:r>
      <w:proofErr w:type="spellEnd"/>
      <w:r w:rsidRPr="00F223CF">
        <w:rPr>
          <w:rFonts w:ascii="Georgia" w:hAnsi="Georgia" w:cs="Arial"/>
          <w:color w:val="000000"/>
        </w:rPr>
        <w:t xml:space="preserve"> in 1993.  These include </w:t>
      </w:r>
      <w:proofErr w:type="spellStart"/>
      <w:r w:rsidRPr="00F223CF">
        <w:rPr>
          <w:rFonts w:ascii="Georgia" w:hAnsi="Georgia" w:cs="Arial"/>
          <w:color w:val="000000"/>
        </w:rPr>
        <w:t>Claibornian</w:t>
      </w:r>
      <w:proofErr w:type="spellEnd"/>
      <w:r w:rsidRPr="00F223CF">
        <w:rPr>
          <w:rFonts w:ascii="Georgia" w:hAnsi="Georgia" w:cs="Arial"/>
          <w:color w:val="000000"/>
        </w:rPr>
        <w:t xml:space="preserve"> limestones, lower and upper Jacksonian limestones, the lower Oligocene, </w:t>
      </w:r>
      <w:proofErr w:type="spellStart"/>
      <w:r w:rsidRPr="00F223CF">
        <w:rPr>
          <w:rFonts w:ascii="Georgia" w:hAnsi="Georgia" w:cs="Arial"/>
          <w:color w:val="000000"/>
        </w:rPr>
        <w:t>Vicksburgian</w:t>
      </w:r>
      <w:proofErr w:type="spellEnd"/>
      <w:r w:rsidRPr="00F223CF">
        <w:rPr>
          <w:rFonts w:ascii="Georgia" w:hAnsi="Georgia" w:cs="Arial"/>
          <w:color w:val="000000"/>
        </w:rPr>
        <w:t xml:space="preserve"> </w:t>
      </w:r>
      <w:proofErr w:type="spellStart"/>
      <w:r w:rsidRPr="00F223CF">
        <w:rPr>
          <w:rFonts w:ascii="Georgia" w:hAnsi="Georgia" w:cs="Arial"/>
          <w:color w:val="000000"/>
        </w:rPr>
        <w:t>Ochlockonee</w:t>
      </w:r>
      <w:proofErr w:type="spellEnd"/>
      <w:r w:rsidRPr="00F223CF">
        <w:rPr>
          <w:rFonts w:ascii="Georgia" w:hAnsi="Georgia" w:cs="Arial"/>
          <w:color w:val="000000"/>
        </w:rPr>
        <w:t xml:space="preserve"> Formation with the Pridgen Limestone Member, the Wolf Pit Dolostone, and the </w:t>
      </w:r>
      <w:proofErr w:type="spellStart"/>
      <w:r w:rsidRPr="00F223CF">
        <w:rPr>
          <w:rFonts w:ascii="Georgia" w:hAnsi="Georgia" w:cs="Arial"/>
          <w:color w:val="000000"/>
        </w:rPr>
        <w:t>Okapilco</w:t>
      </w:r>
      <w:proofErr w:type="spellEnd"/>
      <w:r w:rsidRPr="00F223CF">
        <w:rPr>
          <w:rFonts w:ascii="Georgia" w:hAnsi="Georgia" w:cs="Arial"/>
          <w:color w:val="000000"/>
        </w:rPr>
        <w:t xml:space="preserve"> Limestone.  All these units, named and unnamed, are restricted to the depths of the Gulf Trough.  The formations appear to be trough, channel-fill; deposited after the Suwannee Current had subsided during the Oligocene, allowing carbonate detrital sediment to accumulate.  The </w:t>
      </w:r>
      <w:proofErr w:type="spellStart"/>
      <w:r w:rsidRPr="00F223CF">
        <w:rPr>
          <w:rFonts w:ascii="Georgia" w:hAnsi="Georgia" w:cs="Arial"/>
          <w:color w:val="000000"/>
        </w:rPr>
        <w:t>Bridgeboro</w:t>
      </w:r>
      <w:proofErr w:type="spellEnd"/>
      <w:r w:rsidRPr="00F223CF">
        <w:rPr>
          <w:rFonts w:ascii="Georgia" w:hAnsi="Georgia" w:cs="Arial"/>
          <w:color w:val="000000"/>
        </w:rPr>
        <w:t xml:space="preserve"> Limestone in Georgia is associated with the Gulf Trough but occurs only on its upper, </w:t>
      </w:r>
      <w:proofErr w:type="gramStart"/>
      <w:r w:rsidRPr="00F223CF">
        <w:rPr>
          <w:rFonts w:ascii="Georgia" w:hAnsi="Georgia" w:cs="Arial"/>
          <w:color w:val="000000"/>
        </w:rPr>
        <w:t>northern</w:t>
      </w:r>
      <w:proofErr w:type="gramEnd"/>
      <w:r w:rsidRPr="00F223CF">
        <w:rPr>
          <w:rFonts w:ascii="Georgia" w:hAnsi="Georgia" w:cs="Arial"/>
          <w:color w:val="000000"/>
        </w:rPr>
        <w:t xml:space="preserve"> and southern flanks.  The presence of the </w:t>
      </w:r>
      <w:proofErr w:type="spellStart"/>
      <w:r w:rsidRPr="00F223CF">
        <w:rPr>
          <w:rFonts w:ascii="Georgia" w:hAnsi="Georgia" w:cs="Arial"/>
          <w:color w:val="000000"/>
        </w:rPr>
        <w:t>Bridgeboro</w:t>
      </w:r>
      <w:proofErr w:type="spellEnd"/>
      <w:r w:rsidRPr="00F223CF">
        <w:rPr>
          <w:rFonts w:ascii="Georgia" w:hAnsi="Georgia" w:cs="Arial"/>
          <w:color w:val="000000"/>
        </w:rPr>
        <w:t xml:space="preserve"> does not appear to be associated with the Gulf Trough in western Florida or southern Alabama. </w:t>
      </w:r>
    </w:p>
    <w:p w14:paraId="76A62D31" w14:textId="77777777" w:rsidR="007D434A" w:rsidRPr="00F223CF" w:rsidRDefault="007D434A" w:rsidP="00194354">
      <w:pPr>
        <w:pStyle w:val="yiv4264280208msonormal"/>
        <w:shd w:val="clear" w:color="auto" w:fill="FFFFFF"/>
        <w:spacing w:before="0" w:beforeAutospacing="0" w:after="0" w:afterAutospacing="0"/>
        <w:jc w:val="both"/>
        <w:rPr>
          <w:rFonts w:ascii="Georgia" w:hAnsi="Georgia" w:cs="Arial"/>
          <w:color w:val="000000"/>
        </w:rPr>
      </w:pPr>
      <w:r w:rsidRPr="00F223CF">
        <w:rPr>
          <w:rFonts w:ascii="Georgia" w:hAnsi="Georgia" w:cs="Arial"/>
          <w:color w:val="000000"/>
        </w:rPr>
        <w:t> </w:t>
      </w:r>
    </w:p>
    <w:p w14:paraId="6020B9B1" w14:textId="77777777" w:rsidR="007D434A" w:rsidRPr="00F223CF" w:rsidRDefault="007D434A" w:rsidP="00194354">
      <w:pPr>
        <w:pStyle w:val="yiv4264280208msonormal"/>
        <w:shd w:val="clear" w:color="auto" w:fill="FFFFFF"/>
        <w:spacing w:before="0" w:beforeAutospacing="0" w:after="0" w:afterAutospacing="0"/>
        <w:jc w:val="both"/>
        <w:rPr>
          <w:rFonts w:ascii="Georgia" w:hAnsi="Georgia" w:cs="Arial"/>
          <w:color w:val="000000"/>
        </w:rPr>
      </w:pPr>
      <w:r w:rsidRPr="00F223CF">
        <w:rPr>
          <w:rFonts w:ascii="Georgia" w:hAnsi="Georgia" w:cs="Arial"/>
          <w:color w:val="000000"/>
        </w:rPr>
        <w:t>The Suwannee Current was also active during the Late Cretaceous (</w:t>
      </w:r>
      <w:proofErr w:type="spellStart"/>
      <w:r w:rsidRPr="00F223CF">
        <w:rPr>
          <w:rFonts w:ascii="Georgia" w:hAnsi="Georgia" w:cs="Arial"/>
          <w:color w:val="000000"/>
        </w:rPr>
        <w:t>Navarroan</w:t>
      </w:r>
      <w:proofErr w:type="spellEnd"/>
      <w:r w:rsidRPr="00F223CF">
        <w:rPr>
          <w:rFonts w:ascii="Georgia" w:hAnsi="Georgia" w:cs="Arial"/>
          <w:color w:val="000000"/>
        </w:rPr>
        <w:t xml:space="preserve">, </w:t>
      </w:r>
      <w:proofErr w:type="spellStart"/>
      <w:r w:rsidRPr="00F223CF">
        <w:rPr>
          <w:rFonts w:ascii="Georgia" w:hAnsi="Georgia" w:cs="Arial"/>
          <w:color w:val="000000"/>
        </w:rPr>
        <w:t>Danian</w:t>
      </w:r>
      <w:proofErr w:type="spellEnd"/>
      <w:r w:rsidRPr="00F223CF">
        <w:rPr>
          <w:rFonts w:ascii="Georgia" w:hAnsi="Georgia" w:cs="Arial"/>
          <w:color w:val="000000"/>
        </w:rPr>
        <w:t xml:space="preserve"> and earliest Tertiary, early </w:t>
      </w:r>
      <w:proofErr w:type="spellStart"/>
      <w:r w:rsidRPr="00F223CF">
        <w:rPr>
          <w:rFonts w:ascii="Georgia" w:hAnsi="Georgia" w:cs="Arial"/>
          <w:color w:val="000000"/>
        </w:rPr>
        <w:t>Midwayan</w:t>
      </w:r>
      <w:proofErr w:type="spellEnd"/>
      <w:r w:rsidRPr="00F223CF">
        <w:rPr>
          <w:rFonts w:ascii="Georgia" w:hAnsi="Georgia" w:cs="Arial"/>
          <w:color w:val="000000"/>
        </w:rPr>
        <w:t xml:space="preserve">, Clayton deposition).  The thickest channel filling in the Suwannee Strait was during the late Paleocene, roughly </w:t>
      </w:r>
      <w:proofErr w:type="spellStart"/>
      <w:r w:rsidRPr="00F223CF">
        <w:rPr>
          <w:rFonts w:ascii="Georgia" w:hAnsi="Georgia" w:cs="Arial"/>
          <w:color w:val="000000"/>
        </w:rPr>
        <w:t>Nanafalia</w:t>
      </w:r>
      <w:proofErr w:type="spellEnd"/>
      <w:r w:rsidRPr="00F223CF">
        <w:rPr>
          <w:rFonts w:ascii="Georgia" w:hAnsi="Georgia" w:cs="Arial"/>
          <w:color w:val="000000"/>
        </w:rPr>
        <w:t xml:space="preserve"> and </w:t>
      </w:r>
      <w:proofErr w:type="spellStart"/>
      <w:r w:rsidRPr="00F223CF">
        <w:rPr>
          <w:rFonts w:ascii="Georgia" w:hAnsi="Georgia" w:cs="Arial"/>
          <w:color w:val="000000"/>
        </w:rPr>
        <w:t>Tuscahoma</w:t>
      </w:r>
      <w:proofErr w:type="spellEnd"/>
      <w:r w:rsidRPr="00F223CF">
        <w:rPr>
          <w:rFonts w:ascii="Georgia" w:hAnsi="Georgia" w:cs="Arial"/>
          <w:color w:val="000000"/>
        </w:rPr>
        <w:t xml:space="preserve"> deposition) but probably continued into the Early Eocene and possibly the early part of the Middle Eocene.  The Suwannee Channel was apparently filled completely by the Late Eocene because the Ocala limestones are present in the area without any known lithology or thickness change.  The only source known to me concerning the nature of the Suwannee channel-fill deposits is Herrick’s 1961, GGS well logs bulletin.  The lithology of the lower part of the limestone channel fill appears to be </w:t>
      </w:r>
      <w:proofErr w:type="gramStart"/>
      <w:r w:rsidRPr="00F223CF">
        <w:rPr>
          <w:rFonts w:ascii="Georgia" w:hAnsi="Georgia" w:cs="Arial"/>
          <w:color w:val="000000"/>
        </w:rPr>
        <w:t>very similar</w:t>
      </w:r>
      <w:proofErr w:type="gramEnd"/>
      <w:r w:rsidRPr="00F223CF">
        <w:rPr>
          <w:rFonts w:ascii="Georgia" w:hAnsi="Georgia" w:cs="Arial"/>
          <w:color w:val="000000"/>
        </w:rPr>
        <w:t xml:space="preserve"> to that of the Gulf Trough channel-fill, the </w:t>
      </w:r>
      <w:proofErr w:type="spellStart"/>
      <w:r w:rsidRPr="00F223CF">
        <w:rPr>
          <w:rFonts w:ascii="Georgia" w:hAnsi="Georgia" w:cs="Arial"/>
          <w:color w:val="000000"/>
        </w:rPr>
        <w:t>Ochlockonee</w:t>
      </w:r>
      <w:proofErr w:type="spellEnd"/>
      <w:r w:rsidRPr="00F223CF">
        <w:rPr>
          <w:rFonts w:ascii="Georgia" w:hAnsi="Georgia" w:cs="Arial"/>
          <w:color w:val="000000"/>
        </w:rPr>
        <w:t xml:space="preserve"> Formation.</w:t>
      </w:r>
    </w:p>
    <w:p w14:paraId="6280B61B" w14:textId="77777777" w:rsidR="007D434A" w:rsidRPr="00F223CF" w:rsidRDefault="007D434A" w:rsidP="00194354">
      <w:pPr>
        <w:pStyle w:val="yiv4264280208msonormal"/>
        <w:shd w:val="clear" w:color="auto" w:fill="FFFFFF"/>
        <w:spacing w:before="0" w:beforeAutospacing="0" w:after="0" w:afterAutospacing="0"/>
        <w:jc w:val="both"/>
        <w:rPr>
          <w:rFonts w:ascii="Georgia" w:hAnsi="Georgia" w:cs="Arial"/>
          <w:color w:val="000000"/>
        </w:rPr>
      </w:pPr>
      <w:r w:rsidRPr="00F223CF">
        <w:rPr>
          <w:rFonts w:ascii="Georgia" w:hAnsi="Georgia" w:cs="Arial"/>
          <w:color w:val="000000"/>
        </w:rPr>
        <w:t> </w:t>
      </w:r>
    </w:p>
    <w:p w14:paraId="7ED71ED8" w14:textId="77777777" w:rsidR="007D434A" w:rsidRPr="00F223CF" w:rsidRDefault="007D434A" w:rsidP="00194354">
      <w:pPr>
        <w:pStyle w:val="yiv4264280208msonormal"/>
        <w:shd w:val="clear" w:color="auto" w:fill="FFFFFF"/>
        <w:spacing w:before="0" w:beforeAutospacing="0" w:after="0" w:afterAutospacing="0"/>
        <w:jc w:val="both"/>
        <w:rPr>
          <w:rFonts w:ascii="Georgia" w:hAnsi="Georgia" w:cs="Arial"/>
          <w:color w:val="000000"/>
        </w:rPr>
      </w:pPr>
      <w:r w:rsidRPr="00F223CF">
        <w:rPr>
          <w:rFonts w:ascii="Georgia" w:hAnsi="Georgia" w:cs="Arial"/>
          <w:color w:val="000000"/>
        </w:rPr>
        <w:t> </w:t>
      </w:r>
    </w:p>
    <w:p w14:paraId="1DC73A09" w14:textId="77777777" w:rsidR="007D434A" w:rsidRDefault="007D434A" w:rsidP="00194354">
      <w:pPr>
        <w:pStyle w:val="yiv4264280208msonormal"/>
        <w:shd w:val="clear" w:color="auto" w:fill="FFFFFF"/>
        <w:spacing w:before="0" w:beforeAutospacing="0" w:after="0" w:afterAutospacing="0"/>
        <w:jc w:val="both"/>
        <w:rPr>
          <w:rFonts w:ascii="Arial" w:hAnsi="Arial" w:cs="Arial"/>
          <w:color w:val="000000"/>
          <w:sz w:val="18"/>
          <w:szCs w:val="18"/>
        </w:rPr>
      </w:pPr>
      <w:r>
        <w:rPr>
          <w:rFonts w:ascii="Georgia Pro" w:hAnsi="Georgia Pro" w:cs="Arial"/>
          <w:color w:val="FF0000"/>
        </w:rPr>
        <w:t> </w:t>
      </w:r>
    </w:p>
    <w:p w14:paraId="7F0A1E98" w14:textId="77777777" w:rsidR="007D434A" w:rsidRDefault="007D434A" w:rsidP="00194354">
      <w:pPr>
        <w:pStyle w:val="yiv4264280208msonormal"/>
        <w:shd w:val="clear" w:color="auto" w:fill="FFFFFF"/>
        <w:spacing w:before="0" w:beforeAutospacing="0" w:after="0" w:afterAutospacing="0"/>
        <w:jc w:val="both"/>
        <w:rPr>
          <w:rFonts w:ascii="Arial" w:hAnsi="Arial" w:cs="Arial"/>
          <w:color w:val="000000"/>
          <w:sz w:val="18"/>
          <w:szCs w:val="18"/>
        </w:rPr>
      </w:pPr>
      <w:r>
        <w:rPr>
          <w:rFonts w:ascii="Georgia Pro" w:hAnsi="Georgia Pro" w:cs="Arial"/>
          <w:color w:val="FF0000"/>
        </w:rPr>
        <w:t> </w:t>
      </w:r>
    </w:p>
    <w:p w14:paraId="42449751" w14:textId="77777777" w:rsidR="007D434A" w:rsidRDefault="007D434A" w:rsidP="00194354">
      <w:pPr>
        <w:pStyle w:val="yiv4264280208msonormal"/>
        <w:shd w:val="clear" w:color="auto" w:fill="FFFFFF"/>
        <w:spacing w:before="0" w:beforeAutospacing="0" w:after="0" w:afterAutospacing="0"/>
        <w:jc w:val="both"/>
        <w:rPr>
          <w:rFonts w:ascii="Arial" w:hAnsi="Arial" w:cs="Arial"/>
          <w:color w:val="000000"/>
          <w:sz w:val="18"/>
          <w:szCs w:val="18"/>
        </w:rPr>
      </w:pPr>
      <w:r>
        <w:rPr>
          <w:rFonts w:ascii="Georgia Pro" w:hAnsi="Georgia Pro" w:cs="Arial"/>
          <w:color w:val="FF0000"/>
        </w:rPr>
        <w:t> </w:t>
      </w:r>
    </w:p>
    <w:p w14:paraId="5C6DE00E" w14:textId="77777777" w:rsidR="007D434A" w:rsidRDefault="007D434A" w:rsidP="00194354">
      <w:pPr>
        <w:pStyle w:val="yiv4264280208msonormal"/>
        <w:shd w:val="clear" w:color="auto" w:fill="FFFFFF"/>
        <w:spacing w:before="0" w:beforeAutospacing="0" w:after="0" w:afterAutospacing="0"/>
        <w:jc w:val="both"/>
        <w:rPr>
          <w:rFonts w:ascii="Arial" w:hAnsi="Arial" w:cs="Arial"/>
          <w:color w:val="000000"/>
          <w:sz w:val="18"/>
          <w:szCs w:val="18"/>
        </w:rPr>
      </w:pPr>
      <w:r>
        <w:rPr>
          <w:rFonts w:ascii="Georgia Pro" w:hAnsi="Georgia Pro" w:cs="Arial"/>
          <w:color w:val="FF0000"/>
        </w:rPr>
        <w:t> </w:t>
      </w:r>
    </w:p>
    <w:p w14:paraId="7E396CEC" w14:textId="77777777" w:rsidR="007D434A" w:rsidRDefault="007D434A" w:rsidP="00194354">
      <w:pPr>
        <w:pStyle w:val="yiv4264280208msonormal"/>
        <w:shd w:val="clear" w:color="auto" w:fill="FFFFFF"/>
        <w:spacing w:before="0" w:beforeAutospacing="0" w:after="0" w:afterAutospacing="0"/>
        <w:jc w:val="both"/>
        <w:rPr>
          <w:rFonts w:ascii="Arial" w:hAnsi="Arial" w:cs="Arial"/>
          <w:color w:val="000000"/>
          <w:sz w:val="18"/>
          <w:szCs w:val="18"/>
        </w:rPr>
      </w:pPr>
      <w:r>
        <w:rPr>
          <w:rFonts w:ascii="Georgia Pro" w:hAnsi="Georgia Pro" w:cs="Arial"/>
          <w:color w:val="FF0000"/>
        </w:rPr>
        <w:t> </w:t>
      </w:r>
    </w:p>
    <w:p w14:paraId="7C1492E4" w14:textId="77777777" w:rsidR="007D434A" w:rsidRDefault="007D434A" w:rsidP="00194354">
      <w:pPr>
        <w:pStyle w:val="yiv4264280208msonormal"/>
        <w:shd w:val="clear" w:color="auto" w:fill="FFFFFF"/>
        <w:spacing w:before="0" w:beforeAutospacing="0" w:after="0" w:afterAutospacing="0"/>
        <w:jc w:val="both"/>
        <w:rPr>
          <w:rFonts w:ascii="Arial" w:hAnsi="Arial" w:cs="Arial"/>
          <w:color w:val="000000"/>
          <w:sz w:val="18"/>
          <w:szCs w:val="18"/>
        </w:rPr>
      </w:pPr>
      <w:r>
        <w:rPr>
          <w:rFonts w:ascii="Georgia Pro" w:hAnsi="Georgia Pro" w:cs="Arial"/>
          <w:color w:val="000000"/>
        </w:rPr>
        <w:t> </w:t>
      </w:r>
    </w:p>
    <w:p w14:paraId="3C542A17" w14:textId="77777777" w:rsidR="007D434A" w:rsidRDefault="007D434A" w:rsidP="00194354">
      <w:pPr>
        <w:pStyle w:val="yiv4264280208msonormal"/>
        <w:shd w:val="clear" w:color="auto" w:fill="FFFFFF"/>
        <w:spacing w:before="0" w:beforeAutospacing="0" w:after="0" w:afterAutospacing="0"/>
        <w:jc w:val="both"/>
        <w:rPr>
          <w:rFonts w:ascii="Arial" w:hAnsi="Arial" w:cs="Arial"/>
          <w:color w:val="000000"/>
          <w:sz w:val="18"/>
          <w:szCs w:val="18"/>
        </w:rPr>
      </w:pPr>
      <w:r>
        <w:rPr>
          <w:rFonts w:ascii="Georgia Pro" w:hAnsi="Georgia Pro" w:cs="Arial"/>
          <w:color w:val="000000"/>
        </w:rPr>
        <w:t> </w:t>
      </w:r>
    </w:p>
    <w:p w14:paraId="03DF988A" w14:textId="77777777" w:rsidR="007D434A" w:rsidRDefault="007D434A" w:rsidP="00194354">
      <w:pPr>
        <w:pStyle w:val="yiv4264280208msonormal"/>
        <w:shd w:val="clear" w:color="auto" w:fill="FFFFFF"/>
        <w:spacing w:before="0" w:beforeAutospacing="0" w:after="0" w:afterAutospacing="0"/>
        <w:jc w:val="both"/>
        <w:rPr>
          <w:rFonts w:ascii="Arial" w:hAnsi="Arial" w:cs="Arial"/>
          <w:color w:val="000000"/>
          <w:sz w:val="18"/>
          <w:szCs w:val="18"/>
        </w:rPr>
      </w:pPr>
      <w:r>
        <w:rPr>
          <w:rFonts w:ascii="Georgia Pro" w:hAnsi="Georgia Pro" w:cs="Arial"/>
          <w:color w:val="000000"/>
        </w:rPr>
        <w:t> </w:t>
      </w:r>
    </w:p>
    <w:p w14:paraId="33EB93FD" w14:textId="77777777" w:rsidR="007D434A" w:rsidRDefault="007D434A" w:rsidP="00194354">
      <w:pPr>
        <w:pStyle w:val="yiv4264280208msonormal"/>
        <w:shd w:val="clear" w:color="auto" w:fill="FFFFFF"/>
        <w:spacing w:before="0" w:beforeAutospacing="0" w:after="0" w:afterAutospacing="0"/>
        <w:jc w:val="both"/>
        <w:rPr>
          <w:rFonts w:ascii="Arial" w:hAnsi="Arial" w:cs="Arial"/>
          <w:color w:val="000000"/>
          <w:sz w:val="18"/>
          <w:szCs w:val="18"/>
        </w:rPr>
      </w:pPr>
      <w:r>
        <w:rPr>
          <w:rFonts w:ascii="Georgia Pro" w:hAnsi="Georgia Pro" w:cs="Arial"/>
          <w:color w:val="000000"/>
        </w:rPr>
        <w:t> </w:t>
      </w:r>
    </w:p>
    <w:p w14:paraId="6F99310A" w14:textId="77777777" w:rsidR="007D434A" w:rsidRDefault="007D434A" w:rsidP="00194354">
      <w:pPr>
        <w:pStyle w:val="yiv4264280208msonormal"/>
        <w:shd w:val="clear" w:color="auto" w:fill="FFFFFF"/>
        <w:spacing w:before="0" w:beforeAutospacing="0" w:after="0" w:afterAutospacing="0"/>
        <w:jc w:val="both"/>
        <w:rPr>
          <w:rFonts w:ascii="Arial" w:hAnsi="Arial" w:cs="Arial"/>
          <w:color w:val="000000"/>
          <w:sz w:val="18"/>
          <w:szCs w:val="18"/>
        </w:rPr>
      </w:pPr>
      <w:r>
        <w:rPr>
          <w:rFonts w:ascii="Georgia Pro" w:hAnsi="Georgia Pro" w:cs="Arial"/>
          <w:color w:val="000000"/>
        </w:rPr>
        <w:t> </w:t>
      </w:r>
    </w:p>
    <w:p w14:paraId="62FB4E8F" w14:textId="77777777" w:rsidR="007D434A" w:rsidRDefault="007D434A" w:rsidP="00194354">
      <w:pPr>
        <w:pStyle w:val="yiv4264280208msonormal"/>
        <w:shd w:val="clear" w:color="auto" w:fill="FFFFFF"/>
        <w:spacing w:before="0" w:beforeAutospacing="0" w:after="0" w:afterAutospacing="0"/>
        <w:jc w:val="both"/>
        <w:rPr>
          <w:rFonts w:ascii="Arial" w:hAnsi="Arial" w:cs="Arial"/>
          <w:color w:val="000000"/>
          <w:sz w:val="18"/>
          <w:szCs w:val="18"/>
        </w:rPr>
      </w:pPr>
      <w:r>
        <w:rPr>
          <w:rFonts w:ascii="Georgia Pro" w:hAnsi="Georgia Pro" w:cs="Arial"/>
          <w:color w:val="000000"/>
        </w:rPr>
        <w:t> </w:t>
      </w:r>
    </w:p>
    <w:p w14:paraId="5E019C96" w14:textId="77777777" w:rsidR="007D434A" w:rsidRDefault="007D434A" w:rsidP="00194354">
      <w:pPr>
        <w:pStyle w:val="yiv4264280208msonormal"/>
        <w:shd w:val="clear" w:color="auto" w:fill="FFFFFF"/>
        <w:spacing w:before="0" w:beforeAutospacing="0" w:after="0" w:afterAutospacing="0"/>
        <w:jc w:val="both"/>
        <w:rPr>
          <w:rFonts w:ascii="Arial" w:hAnsi="Arial" w:cs="Arial"/>
          <w:color w:val="000000"/>
          <w:sz w:val="18"/>
          <w:szCs w:val="18"/>
        </w:rPr>
      </w:pPr>
      <w:r>
        <w:rPr>
          <w:rFonts w:ascii="Georgia Pro" w:hAnsi="Georgia Pro" w:cs="Arial"/>
          <w:color w:val="000000"/>
        </w:rPr>
        <w:t> </w:t>
      </w:r>
    </w:p>
    <w:p w14:paraId="7EE1221F" w14:textId="77777777" w:rsidR="007D434A" w:rsidRDefault="007D434A" w:rsidP="00194354">
      <w:pPr>
        <w:pStyle w:val="yiv4264280208msonormal"/>
        <w:shd w:val="clear" w:color="auto" w:fill="FFFFFF"/>
        <w:spacing w:before="0" w:beforeAutospacing="0" w:after="0" w:afterAutospacing="0"/>
        <w:jc w:val="both"/>
        <w:rPr>
          <w:rFonts w:ascii="Arial" w:hAnsi="Arial" w:cs="Arial"/>
          <w:color w:val="000000"/>
          <w:sz w:val="18"/>
          <w:szCs w:val="18"/>
        </w:rPr>
      </w:pPr>
      <w:r>
        <w:rPr>
          <w:rFonts w:ascii="Georgia Pro" w:hAnsi="Georgia Pro" w:cs="Arial"/>
          <w:color w:val="000000"/>
        </w:rPr>
        <w:t> </w:t>
      </w:r>
    </w:p>
    <w:p w14:paraId="1DE6F43A" w14:textId="77777777" w:rsidR="007D434A" w:rsidRDefault="007D434A" w:rsidP="00194354">
      <w:pPr>
        <w:pStyle w:val="yiv4264280208msonormal"/>
        <w:shd w:val="clear" w:color="auto" w:fill="FFFFFF"/>
        <w:spacing w:before="0" w:beforeAutospacing="0" w:after="0" w:afterAutospacing="0"/>
        <w:jc w:val="both"/>
        <w:rPr>
          <w:rFonts w:ascii="Arial" w:hAnsi="Arial" w:cs="Arial"/>
          <w:color w:val="000000"/>
          <w:sz w:val="18"/>
          <w:szCs w:val="18"/>
        </w:rPr>
      </w:pPr>
      <w:r>
        <w:rPr>
          <w:rFonts w:ascii="Georgia Pro" w:hAnsi="Georgia Pro" w:cs="Arial"/>
          <w:color w:val="000000"/>
        </w:rPr>
        <w:t> </w:t>
      </w:r>
    </w:p>
    <w:p w14:paraId="40341D60" w14:textId="77777777" w:rsidR="007D434A" w:rsidRDefault="007D434A" w:rsidP="00194354">
      <w:pPr>
        <w:pStyle w:val="yiv4264280208msonormal"/>
        <w:shd w:val="clear" w:color="auto" w:fill="FFFFFF"/>
        <w:spacing w:before="0" w:beforeAutospacing="0" w:after="0" w:afterAutospacing="0"/>
        <w:jc w:val="both"/>
        <w:rPr>
          <w:rFonts w:ascii="Arial" w:hAnsi="Arial" w:cs="Arial"/>
          <w:color w:val="000000"/>
          <w:sz w:val="18"/>
          <w:szCs w:val="18"/>
        </w:rPr>
      </w:pPr>
      <w:r>
        <w:rPr>
          <w:rFonts w:ascii="Georgia Pro" w:hAnsi="Georgia Pro" w:cs="Arial"/>
          <w:color w:val="000000"/>
        </w:rPr>
        <w:t> </w:t>
      </w:r>
    </w:p>
    <w:p w14:paraId="2A57D095" w14:textId="77777777" w:rsidR="007D434A" w:rsidRDefault="007D434A" w:rsidP="00194354">
      <w:pPr>
        <w:pStyle w:val="yiv4264280208msonormal"/>
        <w:shd w:val="clear" w:color="auto" w:fill="FFFFFF"/>
        <w:spacing w:before="0" w:beforeAutospacing="0" w:after="0" w:afterAutospacing="0"/>
        <w:jc w:val="both"/>
        <w:rPr>
          <w:rFonts w:ascii="Arial" w:hAnsi="Arial" w:cs="Arial"/>
          <w:color w:val="000000"/>
          <w:sz w:val="18"/>
          <w:szCs w:val="18"/>
        </w:rPr>
      </w:pPr>
      <w:r>
        <w:rPr>
          <w:rFonts w:ascii="Georgia Pro" w:hAnsi="Georgia Pro" w:cs="Arial"/>
          <w:color w:val="000000"/>
        </w:rPr>
        <w:t> </w:t>
      </w:r>
    </w:p>
    <w:p w14:paraId="05E99C67" w14:textId="77777777" w:rsidR="007D434A" w:rsidRDefault="007D434A" w:rsidP="00194354">
      <w:pPr>
        <w:pStyle w:val="yiv4264280208msonormal"/>
        <w:shd w:val="clear" w:color="auto" w:fill="FFFFFF"/>
        <w:spacing w:before="0" w:beforeAutospacing="0" w:after="0" w:afterAutospacing="0"/>
        <w:jc w:val="both"/>
        <w:rPr>
          <w:rFonts w:ascii="Arial" w:hAnsi="Arial" w:cs="Arial"/>
          <w:color w:val="000000"/>
          <w:sz w:val="18"/>
          <w:szCs w:val="18"/>
        </w:rPr>
      </w:pPr>
      <w:r>
        <w:rPr>
          <w:rFonts w:ascii="Georgia Pro" w:hAnsi="Georgia Pro" w:cs="Arial"/>
          <w:color w:val="000000"/>
        </w:rPr>
        <w:lastRenderedPageBreak/>
        <w:t> </w:t>
      </w:r>
    </w:p>
    <w:p w14:paraId="6E21DEB3" w14:textId="77777777" w:rsidR="007D434A" w:rsidRDefault="007D434A" w:rsidP="00194354">
      <w:pPr>
        <w:pStyle w:val="yiv4264280208msonormal"/>
        <w:shd w:val="clear" w:color="auto" w:fill="FFFFFF"/>
        <w:spacing w:before="0" w:beforeAutospacing="0" w:after="0" w:afterAutospacing="0"/>
        <w:jc w:val="both"/>
        <w:rPr>
          <w:rFonts w:ascii="Arial" w:hAnsi="Arial" w:cs="Arial"/>
          <w:color w:val="000000"/>
          <w:sz w:val="18"/>
          <w:szCs w:val="18"/>
        </w:rPr>
      </w:pPr>
      <w:r>
        <w:rPr>
          <w:rFonts w:ascii="Georgia Pro" w:hAnsi="Georgia Pro" w:cs="Arial"/>
          <w:color w:val="000000"/>
          <w:sz w:val="18"/>
          <w:szCs w:val="18"/>
        </w:rPr>
        <w:t> </w:t>
      </w:r>
    </w:p>
    <w:p w14:paraId="24697D94" w14:textId="77777777" w:rsidR="007D434A" w:rsidRDefault="007D434A" w:rsidP="00194354">
      <w:pPr>
        <w:pStyle w:val="yiv4264280208msonormal"/>
        <w:shd w:val="clear" w:color="auto" w:fill="FFFFFF"/>
        <w:spacing w:before="0" w:beforeAutospacing="0" w:after="0" w:afterAutospacing="0"/>
        <w:jc w:val="both"/>
        <w:rPr>
          <w:rFonts w:ascii="Arial" w:hAnsi="Arial" w:cs="Arial"/>
          <w:color w:val="000000"/>
          <w:sz w:val="18"/>
          <w:szCs w:val="18"/>
        </w:rPr>
      </w:pPr>
      <w:r>
        <w:rPr>
          <w:rFonts w:ascii="Georgia Pro" w:hAnsi="Georgia Pro" w:cs="Arial"/>
          <w:color w:val="000000"/>
          <w:sz w:val="18"/>
          <w:szCs w:val="18"/>
        </w:rPr>
        <w:t> </w:t>
      </w:r>
    </w:p>
    <w:p w14:paraId="7E0356AD" w14:textId="77777777" w:rsidR="007D434A" w:rsidRDefault="007D434A" w:rsidP="00194354">
      <w:pPr>
        <w:pStyle w:val="yiv4264280208msonormal"/>
        <w:shd w:val="clear" w:color="auto" w:fill="FFFFFF"/>
        <w:spacing w:before="0" w:beforeAutospacing="0" w:after="0" w:afterAutospacing="0"/>
        <w:jc w:val="both"/>
        <w:rPr>
          <w:rFonts w:ascii="Arial" w:hAnsi="Arial" w:cs="Arial"/>
          <w:color w:val="000000"/>
          <w:sz w:val="18"/>
          <w:szCs w:val="18"/>
        </w:rPr>
      </w:pPr>
      <w:r>
        <w:rPr>
          <w:rFonts w:ascii="Arial" w:hAnsi="Arial" w:cs="Arial"/>
          <w:color w:val="000000"/>
          <w:sz w:val="18"/>
          <w:szCs w:val="18"/>
        </w:rPr>
        <w:t> </w:t>
      </w:r>
    </w:p>
    <w:p w14:paraId="15AC5689" w14:textId="77777777" w:rsidR="007D434A" w:rsidRPr="00543383" w:rsidRDefault="007D434A" w:rsidP="00194354">
      <w:pPr>
        <w:tabs>
          <w:tab w:val="left" w:pos="372"/>
          <w:tab w:val="left" w:pos="2256"/>
        </w:tabs>
        <w:spacing w:after="0" w:line="240" w:lineRule="auto"/>
        <w:jc w:val="both"/>
        <w:rPr>
          <w:rFonts w:ascii="Georgia" w:hAnsi="Georgia"/>
          <w:sz w:val="24"/>
          <w:szCs w:val="24"/>
        </w:rPr>
      </w:pPr>
    </w:p>
    <w:sectPr w:rsidR="007D434A" w:rsidRPr="00543383" w:rsidSect="003637C3">
      <w:headerReference w:type="default" r:id="rId7"/>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983ED" w14:textId="77777777" w:rsidR="00876F5E" w:rsidRDefault="00876F5E" w:rsidP="009B7E9E">
      <w:pPr>
        <w:spacing w:after="0" w:line="240" w:lineRule="auto"/>
      </w:pPr>
      <w:r>
        <w:separator/>
      </w:r>
    </w:p>
  </w:endnote>
  <w:endnote w:type="continuationSeparator" w:id="0">
    <w:p w14:paraId="4CFE1EFB" w14:textId="77777777" w:rsidR="00876F5E" w:rsidRDefault="00876F5E" w:rsidP="009B7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Pro">
    <w:charset w:val="00"/>
    <w:family w:val="roman"/>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27EDC" w14:textId="77777777" w:rsidR="00876F5E" w:rsidRDefault="00876F5E" w:rsidP="009B7E9E">
      <w:pPr>
        <w:spacing w:after="0" w:line="240" w:lineRule="auto"/>
      </w:pPr>
      <w:r>
        <w:separator/>
      </w:r>
    </w:p>
  </w:footnote>
  <w:footnote w:type="continuationSeparator" w:id="0">
    <w:p w14:paraId="6DA79284" w14:textId="77777777" w:rsidR="00876F5E" w:rsidRDefault="00876F5E" w:rsidP="009B7E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E6E4E" w14:textId="6DE1D833" w:rsidR="009B7E9E" w:rsidRDefault="00C5093C" w:rsidP="00C5093C">
    <w:pPr>
      <w:pStyle w:val="Header"/>
      <w:jc w:val="right"/>
      <w:rPr>
        <w:rFonts w:ascii="Georgia" w:hAnsi="Georgia"/>
        <w:noProof/>
        <w:sz w:val="24"/>
        <w:szCs w:val="24"/>
      </w:rPr>
    </w:pPr>
    <w:r>
      <w:rPr>
        <w:rFonts w:ascii="Georgia" w:hAnsi="Georgia"/>
        <w:noProof/>
        <w:sz w:val="24"/>
        <w:szCs w:val="24"/>
      </w:rPr>
      <w:drawing>
        <wp:anchor distT="0" distB="0" distL="114300" distR="114300" simplePos="0" relativeHeight="251658240" behindDoc="1" locked="0" layoutInCell="1" allowOverlap="1" wp14:anchorId="0E7FB747" wp14:editId="483D9178">
          <wp:simplePos x="0" y="0"/>
          <wp:positionH relativeFrom="column">
            <wp:posOffset>83820</wp:posOffset>
          </wp:positionH>
          <wp:positionV relativeFrom="paragraph">
            <wp:posOffset>7620</wp:posOffset>
          </wp:positionV>
          <wp:extent cx="915035" cy="1028700"/>
          <wp:effectExtent l="0" t="0" r="0" b="0"/>
          <wp:wrapTight wrapText="bothSides">
            <wp:wrapPolygon edited="0">
              <wp:start x="0" y="0"/>
              <wp:lineTo x="0" y="21200"/>
              <wp:lineTo x="21135" y="21200"/>
              <wp:lineTo x="211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orgiasfossils-logo_2.jpg"/>
                  <pic:cNvPicPr/>
                </pic:nvPicPr>
                <pic:blipFill>
                  <a:blip r:embed="rId1">
                    <a:extLst>
                      <a:ext uri="{28A0092B-C50C-407E-A947-70E740481C1C}">
                        <a14:useLocalDpi xmlns:a14="http://schemas.microsoft.com/office/drawing/2010/main" val="0"/>
                      </a:ext>
                    </a:extLst>
                  </a:blip>
                  <a:stretch>
                    <a:fillRect/>
                  </a:stretch>
                </pic:blipFill>
                <pic:spPr>
                  <a:xfrm>
                    <a:off x="0" y="0"/>
                    <a:ext cx="915035" cy="1028700"/>
                  </a:xfrm>
                  <a:prstGeom prst="rect">
                    <a:avLst/>
                  </a:prstGeom>
                </pic:spPr>
              </pic:pic>
            </a:graphicData>
          </a:graphic>
          <wp14:sizeRelH relativeFrom="margin">
            <wp14:pctWidth>0</wp14:pctWidth>
          </wp14:sizeRelH>
          <wp14:sizeRelV relativeFrom="margin">
            <wp14:pctHeight>0</wp14:pctHeight>
          </wp14:sizeRelV>
        </wp:anchor>
      </w:drawing>
    </w:r>
    <w:r w:rsidRPr="00C5093C">
      <w:rPr>
        <w:rFonts w:ascii="Georgia" w:hAnsi="Georgia"/>
        <w:noProof/>
        <w:sz w:val="24"/>
        <w:szCs w:val="24"/>
      </w:rPr>
      <w:t>Thomas Thurman</w:t>
    </w:r>
  </w:p>
  <w:p w14:paraId="27C79E4E" w14:textId="7E3FBA7A" w:rsidR="00C5093C" w:rsidRDefault="00C5093C" w:rsidP="00C5093C">
    <w:pPr>
      <w:pStyle w:val="Header"/>
      <w:jc w:val="right"/>
      <w:rPr>
        <w:rFonts w:ascii="Georgia" w:hAnsi="Georgia"/>
        <w:sz w:val="24"/>
        <w:szCs w:val="24"/>
      </w:rPr>
    </w:pPr>
    <w:r>
      <w:rPr>
        <w:rFonts w:ascii="Georgia" w:hAnsi="Georgia"/>
        <w:sz w:val="24"/>
        <w:szCs w:val="24"/>
      </w:rPr>
      <w:t>GeorgiasFossils.com</w:t>
    </w:r>
  </w:p>
  <w:p w14:paraId="15C43880" w14:textId="5A951BF5" w:rsidR="00C5093C" w:rsidRDefault="00C5093C" w:rsidP="00C5093C">
    <w:pPr>
      <w:pStyle w:val="Header"/>
      <w:jc w:val="right"/>
      <w:rPr>
        <w:rFonts w:ascii="Georgia" w:hAnsi="Georgia"/>
        <w:sz w:val="24"/>
        <w:szCs w:val="24"/>
      </w:rPr>
    </w:pPr>
    <w:r>
      <w:rPr>
        <w:rFonts w:ascii="Georgia" w:hAnsi="Georgia"/>
        <w:sz w:val="24"/>
        <w:szCs w:val="24"/>
      </w:rPr>
      <w:t>102 McArthur Blvd</w:t>
    </w:r>
  </w:p>
  <w:p w14:paraId="09305EAB" w14:textId="457082E7" w:rsidR="00C5093C" w:rsidRDefault="00C5093C" w:rsidP="00C5093C">
    <w:pPr>
      <w:pStyle w:val="Header"/>
      <w:jc w:val="right"/>
      <w:rPr>
        <w:rFonts w:ascii="Georgia" w:hAnsi="Georgia"/>
        <w:sz w:val="24"/>
        <w:szCs w:val="24"/>
      </w:rPr>
    </w:pPr>
    <w:r>
      <w:rPr>
        <w:rFonts w:ascii="Georgia" w:hAnsi="Georgia"/>
        <w:sz w:val="24"/>
        <w:szCs w:val="24"/>
      </w:rPr>
      <w:t>Warner Robins, GA 31093</w:t>
    </w:r>
  </w:p>
  <w:p w14:paraId="4407EE3A" w14:textId="57D2566F" w:rsidR="00C5093C" w:rsidRDefault="00C5093C" w:rsidP="00C5093C">
    <w:pPr>
      <w:pStyle w:val="Header"/>
      <w:jc w:val="right"/>
      <w:rPr>
        <w:rFonts w:ascii="Georgia" w:hAnsi="Georgia"/>
        <w:sz w:val="24"/>
        <w:szCs w:val="24"/>
      </w:rPr>
    </w:pPr>
    <w:r>
      <w:rPr>
        <w:rFonts w:ascii="Georgia" w:hAnsi="Georgia"/>
        <w:sz w:val="24"/>
        <w:szCs w:val="24"/>
      </w:rPr>
      <w:t>Cell# 478-442-3901</w:t>
    </w:r>
  </w:p>
  <w:p w14:paraId="3B4AC627" w14:textId="270D7001" w:rsidR="00C5093C" w:rsidRPr="00C5093C" w:rsidRDefault="00C5093C" w:rsidP="00C5093C">
    <w:pPr>
      <w:pStyle w:val="Header"/>
      <w:jc w:val="right"/>
      <w:rPr>
        <w:rFonts w:ascii="Georgia" w:hAnsi="Georgia"/>
        <w:sz w:val="24"/>
        <w:szCs w:val="24"/>
      </w:rPr>
    </w:pPr>
    <w:r>
      <w:rPr>
        <w:rFonts w:ascii="Georgia" w:hAnsi="Georgia"/>
        <w:sz w:val="24"/>
        <w:szCs w:val="24"/>
      </w:rPr>
      <w:t xml:space="preserve">Email; </w:t>
    </w:r>
    <w:r w:rsidR="007163B5">
      <w:rPr>
        <w:rFonts w:ascii="Georgia" w:hAnsi="Georgia"/>
        <w:sz w:val="24"/>
        <w:szCs w:val="24"/>
      </w:rPr>
      <w:t>tpangangan</w:t>
    </w:r>
    <w:r>
      <w:rPr>
        <w:rFonts w:ascii="Georgia" w:hAnsi="Georgia"/>
        <w:sz w:val="24"/>
        <w:szCs w:val="24"/>
      </w:rPr>
      <w:t>@aol.com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E9E"/>
    <w:rsid w:val="0000059B"/>
    <w:rsid w:val="00000B32"/>
    <w:rsid w:val="00003391"/>
    <w:rsid w:val="0000364D"/>
    <w:rsid w:val="000047C7"/>
    <w:rsid w:val="00005023"/>
    <w:rsid w:val="000050E6"/>
    <w:rsid w:val="00005D16"/>
    <w:rsid w:val="00007C5A"/>
    <w:rsid w:val="00007F4F"/>
    <w:rsid w:val="000119FC"/>
    <w:rsid w:val="00012685"/>
    <w:rsid w:val="00013B96"/>
    <w:rsid w:val="000163ED"/>
    <w:rsid w:val="00016C8E"/>
    <w:rsid w:val="00016D25"/>
    <w:rsid w:val="00017D06"/>
    <w:rsid w:val="00020CAE"/>
    <w:rsid w:val="000222FC"/>
    <w:rsid w:val="00022771"/>
    <w:rsid w:val="000239CE"/>
    <w:rsid w:val="00024ABA"/>
    <w:rsid w:val="00025084"/>
    <w:rsid w:val="000262E2"/>
    <w:rsid w:val="00026308"/>
    <w:rsid w:val="00027CC0"/>
    <w:rsid w:val="0003030B"/>
    <w:rsid w:val="00030D4A"/>
    <w:rsid w:val="0003106A"/>
    <w:rsid w:val="000318FE"/>
    <w:rsid w:val="00031FEB"/>
    <w:rsid w:val="00032792"/>
    <w:rsid w:val="00032A82"/>
    <w:rsid w:val="00032CBB"/>
    <w:rsid w:val="00034DD6"/>
    <w:rsid w:val="00035424"/>
    <w:rsid w:val="00035B4F"/>
    <w:rsid w:val="000372AD"/>
    <w:rsid w:val="00037742"/>
    <w:rsid w:val="00041811"/>
    <w:rsid w:val="0004263A"/>
    <w:rsid w:val="00043ED2"/>
    <w:rsid w:val="00045DD2"/>
    <w:rsid w:val="00046ED8"/>
    <w:rsid w:val="00046FC0"/>
    <w:rsid w:val="000475E8"/>
    <w:rsid w:val="00051721"/>
    <w:rsid w:val="00051B63"/>
    <w:rsid w:val="000523F5"/>
    <w:rsid w:val="00053690"/>
    <w:rsid w:val="00053820"/>
    <w:rsid w:val="00054142"/>
    <w:rsid w:val="0005527A"/>
    <w:rsid w:val="00056297"/>
    <w:rsid w:val="00057620"/>
    <w:rsid w:val="00057B06"/>
    <w:rsid w:val="000617A1"/>
    <w:rsid w:val="00061EEE"/>
    <w:rsid w:val="00062B90"/>
    <w:rsid w:val="0006325B"/>
    <w:rsid w:val="000641E5"/>
    <w:rsid w:val="00064311"/>
    <w:rsid w:val="00064BEB"/>
    <w:rsid w:val="00065152"/>
    <w:rsid w:val="000662AA"/>
    <w:rsid w:val="00066D8D"/>
    <w:rsid w:val="000672CD"/>
    <w:rsid w:val="00067752"/>
    <w:rsid w:val="00070B41"/>
    <w:rsid w:val="00070E0F"/>
    <w:rsid w:val="00071362"/>
    <w:rsid w:val="00072599"/>
    <w:rsid w:val="0007441F"/>
    <w:rsid w:val="0007468B"/>
    <w:rsid w:val="00076D43"/>
    <w:rsid w:val="0007798E"/>
    <w:rsid w:val="00077C49"/>
    <w:rsid w:val="000800C7"/>
    <w:rsid w:val="0008261E"/>
    <w:rsid w:val="00083535"/>
    <w:rsid w:val="0008458D"/>
    <w:rsid w:val="000876A0"/>
    <w:rsid w:val="00087CED"/>
    <w:rsid w:val="000902A5"/>
    <w:rsid w:val="00091263"/>
    <w:rsid w:val="00092409"/>
    <w:rsid w:val="00092D4E"/>
    <w:rsid w:val="000954B0"/>
    <w:rsid w:val="00096877"/>
    <w:rsid w:val="00096A1E"/>
    <w:rsid w:val="00096C69"/>
    <w:rsid w:val="0009778F"/>
    <w:rsid w:val="00097791"/>
    <w:rsid w:val="00097FC5"/>
    <w:rsid w:val="000A0127"/>
    <w:rsid w:val="000A10D4"/>
    <w:rsid w:val="000A2932"/>
    <w:rsid w:val="000A2BC6"/>
    <w:rsid w:val="000A3364"/>
    <w:rsid w:val="000A34F2"/>
    <w:rsid w:val="000A3944"/>
    <w:rsid w:val="000A5843"/>
    <w:rsid w:val="000A60B9"/>
    <w:rsid w:val="000A7DD7"/>
    <w:rsid w:val="000B11AD"/>
    <w:rsid w:val="000B2D6E"/>
    <w:rsid w:val="000B2DF2"/>
    <w:rsid w:val="000B307B"/>
    <w:rsid w:val="000B411B"/>
    <w:rsid w:val="000B447D"/>
    <w:rsid w:val="000B4928"/>
    <w:rsid w:val="000B4EB7"/>
    <w:rsid w:val="000B5487"/>
    <w:rsid w:val="000B5CFE"/>
    <w:rsid w:val="000B6163"/>
    <w:rsid w:val="000B7B7C"/>
    <w:rsid w:val="000B7CD9"/>
    <w:rsid w:val="000C076B"/>
    <w:rsid w:val="000C0F4E"/>
    <w:rsid w:val="000C1236"/>
    <w:rsid w:val="000C26F0"/>
    <w:rsid w:val="000C2846"/>
    <w:rsid w:val="000C3EEC"/>
    <w:rsid w:val="000C6E8D"/>
    <w:rsid w:val="000D0AD6"/>
    <w:rsid w:val="000D130E"/>
    <w:rsid w:val="000D1DF2"/>
    <w:rsid w:val="000D25DE"/>
    <w:rsid w:val="000D264E"/>
    <w:rsid w:val="000D3A1D"/>
    <w:rsid w:val="000D4F2E"/>
    <w:rsid w:val="000D5009"/>
    <w:rsid w:val="000E39CA"/>
    <w:rsid w:val="000E3B20"/>
    <w:rsid w:val="000E3D69"/>
    <w:rsid w:val="000E6FE4"/>
    <w:rsid w:val="000F184E"/>
    <w:rsid w:val="000F26F6"/>
    <w:rsid w:val="000F2A8A"/>
    <w:rsid w:val="000F34B0"/>
    <w:rsid w:val="000F4717"/>
    <w:rsid w:val="000F4C58"/>
    <w:rsid w:val="000F554B"/>
    <w:rsid w:val="000F5A42"/>
    <w:rsid w:val="000F5AFD"/>
    <w:rsid w:val="000F6C94"/>
    <w:rsid w:val="000F71F3"/>
    <w:rsid w:val="000F76CD"/>
    <w:rsid w:val="000F7D77"/>
    <w:rsid w:val="000F7FAF"/>
    <w:rsid w:val="001009AE"/>
    <w:rsid w:val="00100BB9"/>
    <w:rsid w:val="00101CD2"/>
    <w:rsid w:val="00102482"/>
    <w:rsid w:val="00102EC5"/>
    <w:rsid w:val="0010314E"/>
    <w:rsid w:val="00103CF6"/>
    <w:rsid w:val="00104EDB"/>
    <w:rsid w:val="00105A1A"/>
    <w:rsid w:val="00105B14"/>
    <w:rsid w:val="001062DD"/>
    <w:rsid w:val="00107E15"/>
    <w:rsid w:val="00111B4A"/>
    <w:rsid w:val="00112A5F"/>
    <w:rsid w:val="00112DB4"/>
    <w:rsid w:val="00112E38"/>
    <w:rsid w:val="0011494C"/>
    <w:rsid w:val="0011635E"/>
    <w:rsid w:val="0011742E"/>
    <w:rsid w:val="00120C07"/>
    <w:rsid w:val="001214B7"/>
    <w:rsid w:val="00121A21"/>
    <w:rsid w:val="001223F4"/>
    <w:rsid w:val="00122605"/>
    <w:rsid w:val="00123B3E"/>
    <w:rsid w:val="001274B1"/>
    <w:rsid w:val="00130B7C"/>
    <w:rsid w:val="00130C8F"/>
    <w:rsid w:val="00131014"/>
    <w:rsid w:val="0013210C"/>
    <w:rsid w:val="0013230A"/>
    <w:rsid w:val="00133D90"/>
    <w:rsid w:val="00135354"/>
    <w:rsid w:val="00136704"/>
    <w:rsid w:val="00137E00"/>
    <w:rsid w:val="00137EB3"/>
    <w:rsid w:val="00140050"/>
    <w:rsid w:val="0014088C"/>
    <w:rsid w:val="001409D4"/>
    <w:rsid w:val="00140D73"/>
    <w:rsid w:val="001415EE"/>
    <w:rsid w:val="001415F2"/>
    <w:rsid w:val="00141954"/>
    <w:rsid w:val="001428C9"/>
    <w:rsid w:val="00142BF9"/>
    <w:rsid w:val="00143006"/>
    <w:rsid w:val="001436A1"/>
    <w:rsid w:val="00144CAD"/>
    <w:rsid w:val="00145A55"/>
    <w:rsid w:val="001465F7"/>
    <w:rsid w:val="0014698E"/>
    <w:rsid w:val="00150836"/>
    <w:rsid w:val="001516BA"/>
    <w:rsid w:val="0015337A"/>
    <w:rsid w:val="00154D36"/>
    <w:rsid w:val="00155167"/>
    <w:rsid w:val="00156205"/>
    <w:rsid w:val="00160948"/>
    <w:rsid w:val="00161297"/>
    <w:rsid w:val="001612A4"/>
    <w:rsid w:val="0016174C"/>
    <w:rsid w:val="00161AC3"/>
    <w:rsid w:val="00161D0C"/>
    <w:rsid w:val="00164116"/>
    <w:rsid w:val="00164F67"/>
    <w:rsid w:val="00164FFF"/>
    <w:rsid w:val="00166A81"/>
    <w:rsid w:val="00167416"/>
    <w:rsid w:val="0016749D"/>
    <w:rsid w:val="00167EFE"/>
    <w:rsid w:val="001714B2"/>
    <w:rsid w:val="001725CE"/>
    <w:rsid w:val="00172769"/>
    <w:rsid w:val="00172EF4"/>
    <w:rsid w:val="00173A04"/>
    <w:rsid w:val="00174107"/>
    <w:rsid w:val="0017728C"/>
    <w:rsid w:val="001779B7"/>
    <w:rsid w:val="00177EFF"/>
    <w:rsid w:val="00180943"/>
    <w:rsid w:val="00181508"/>
    <w:rsid w:val="00183212"/>
    <w:rsid w:val="0018465D"/>
    <w:rsid w:val="00184E4B"/>
    <w:rsid w:val="00185577"/>
    <w:rsid w:val="00185D29"/>
    <w:rsid w:val="0018771D"/>
    <w:rsid w:val="00187F71"/>
    <w:rsid w:val="00192FA5"/>
    <w:rsid w:val="00192FC3"/>
    <w:rsid w:val="001933B2"/>
    <w:rsid w:val="00193C44"/>
    <w:rsid w:val="00194354"/>
    <w:rsid w:val="00194CF4"/>
    <w:rsid w:val="001964CF"/>
    <w:rsid w:val="0019720F"/>
    <w:rsid w:val="001973BE"/>
    <w:rsid w:val="001A1976"/>
    <w:rsid w:val="001A3955"/>
    <w:rsid w:val="001A4BAF"/>
    <w:rsid w:val="001A506F"/>
    <w:rsid w:val="001A7829"/>
    <w:rsid w:val="001B00E7"/>
    <w:rsid w:val="001B05A9"/>
    <w:rsid w:val="001B0607"/>
    <w:rsid w:val="001B067B"/>
    <w:rsid w:val="001B0D94"/>
    <w:rsid w:val="001B0F34"/>
    <w:rsid w:val="001B159E"/>
    <w:rsid w:val="001B1607"/>
    <w:rsid w:val="001B1CC4"/>
    <w:rsid w:val="001B1D9C"/>
    <w:rsid w:val="001B1ECB"/>
    <w:rsid w:val="001B5C1E"/>
    <w:rsid w:val="001B66EC"/>
    <w:rsid w:val="001B6897"/>
    <w:rsid w:val="001C0763"/>
    <w:rsid w:val="001C2340"/>
    <w:rsid w:val="001C2E10"/>
    <w:rsid w:val="001C44D9"/>
    <w:rsid w:val="001C5512"/>
    <w:rsid w:val="001C5624"/>
    <w:rsid w:val="001C5629"/>
    <w:rsid w:val="001C56B2"/>
    <w:rsid w:val="001C56FB"/>
    <w:rsid w:val="001C6B39"/>
    <w:rsid w:val="001C6F7D"/>
    <w:rsid w:val="001D0703"/>
    <w:rsid w:val="001D24E7"/>
    <w:rsid w:val="001D2DBD"/>
    <w:rsid w:val="001D3043"/>
    <w:rsid w:val="001D3531"/>
    <w:rsid w:val="001D36DE"/>
    <w:rsid w:val="001D3DE1"/>
    <w:rsid w:val="001D6819"/>
    <w:rsid w:val="001D751A"/>
    <w:rsid w:val="001D78EF"/>
    <w:rsid w:val="001D7DD1"/>
    <w:rsid w:val="001E00CE"/>
    <w:rsid w:val="001E0882"/>
    <w:rsid w:val="001E16D1"/>
    <w:rsid w:val="001F014D"/>
    <w:rsid w:val="001F025A"/>
    <w:rsid w:val="001F0329"/>
    <w:rsid w:val="001F05D5"/>
    <w:rsid w:val="001F1299"/>
    <w:rsid w:val="001F2F4C"/>
    <w:rsid w:val="001F3289"/>
    <w:rsid w:val="001F3AC0"/>
    <w:rsid w:val="001F4E8E"/>
    <w:rsid w:val="001F54FD"/>
    <w:rsid w:val="001F5F22"/>
    <w:rsid w:val="001F6522"/>
    <w:rsid w:val="0020240D"/>
    <w:rsid w:val="002032AC"/>
    <w:rsid w:val="00204ED1"/>
    <w:rsid w:val="00206420"/>
    <w:rsid w:val="00207363"/>
    <w:rsid w:val="002074CC"/>
    <w:rsid w:val="00210AC9"/>
    <w:rsid w:val="00211146"/>
    <w:rsid w:val="00211E94"/>
    <w:rsid w:val="00212A10"/>
    <w:rsid w:val="002136AB"/>
    <w:rsid w:val="00213C41"/>
    <w:rsid w:val="00214550"/>
    <w:rsid w:val="002147F2"/>
    <w:rsid w:val="00215638"/>
    <w:rsid w:val="00215CEE"/>
    <w:rsid w:val="00215D29"/>
    <w:rsid w:val="00217234"/>
    <w:rsid w:val="002175D2"/>
    <w:rsid w:val="002179D5"/>
    <w:rsid w:val="00220C39"/>
    <w:rsid w:val="00221152"/>
    <w:rsid w:val="00221CA8"/>
    <w:rsid w:val="00221E1B"/>
    <w:rsid w:val="0022215F"/>
    <w:rsid w:val="00222622"/>
    <w:rsid w:val="00222AE1"/>
    <w:rsid w:val="00223264"/>
    <w:rsid w:val="002245C8"/>
    <w:rsid w:val="00224A04"/>
    <w:rsid w:val="00224CD8"/>
    <w:rsid w:val="00224EEA"/>
    <w:rsid w:val="002259AF"/>
    <w:rsid w:val="00226A7E"/>
    <w:rsid w:val="002277EA"/>
    <w:rsid w:val="00232AF4"/>
    <w:rsid w:val="002330AF"/>
    <w:rsid w:val="002343EC"/>
    <w:rsid w:val="0023573E"/>
    <w:rsid w:val="002358F4"/>
    <w:rsid w:val="002358F7"/>
    <w:rsid w:val="00235B07"/>
    <w:rsid w:val="002375EF"/>
    <w:rsid w:val="002427A1"/>
    <w:rsid w:val="00242F45"/>
    <w:rsid w:val="00243150"/>
    <w:rsid w:val="00243A19"/>
    <w:rsid w:val="00243D76"/>
    <w:rsid w:val="0024421A"/>
    <w:rsid w:val="00244C40"/>
    <w:rsid w:val="00244C46"/>
    <w:rsid w:val="00245450"/>
    <w:rsid w:val="002457D5"/>
    <w:rsid w:val="00247EC1"/>
    <w:rsid w:val="00250070"/>
    <w:rsid w:val="002507F6"/>
    <w:rsid w:val="00251BFB"/>
    <w:rsid w:val="00251C72"/>
    <w:rsid w:val="00252174"/>
    <w:rsid w:val="002523FF"/>
    <w:rsid w:val="0025393F"/>
    <w:rsid w:val="0025484B"/>
    <w:rsid w:val="00254ADD"/>
    <w:rsid w:val="00254F61"/>
    <w:rsid w:val="00255ECB"/>
    <w:rsid w:val="0025669E"/>
    <w:rsid w:val="00257E93"/>
    <w:rsid w:val="002600A7"/>
    <w:rsid w:val="002610AF"/>
    <w:rsid w:val="00261F6C"/>
    <w:rsid w:val="00264BB4"/>
    <w:rsid w:val="00264E8E"/>
    <w:rsid w:val="00265A28"/>
    <w:rsid w:val="002668FF"/>
    <w:rsid w:val="0026756B"/>
    <w:rsid w:val="00267F0C"/>
    <w:rsid w:val="00271BC7"/>
    <w:rsid w:val="00272CE6"/>
    <w:rsid w:val="002749B1"/>
    <w:rsid w:val="00275B12"/>
    <w:rsid w:val="00281588"/>
    <w:rsid w:val="0028189D"/>
    <w:rsid w:val="00281FBD"/>
    <w:rsid w:val="0028428B"/>
    <w:rsid w:val="0028499B"/>
    <w:rsid w:val="00284D3F"/>
    <w:rsid w:val="00286390"/>
    <w:rsid w:val="00287D8A"/>
    <w:rsid w:val="0029025D"/>
    <w:rsid w:val="00290D32"/>
    <w:rsid w:val="002912A5"/>
    <w:rsid w:val="00291D68"/>
    <w:rsid w:val="00292278"/>
    <w:rsid w:val="00292AE5"/>
    <w:rsid w:val="00293201"/>
    <w:rsid w:val="00293BFF"/>
    <w:rsid w:val="00294A15"/>
    <w:rsid w:val="002957A6"/>
    <w:rsid w:val="002959DC"/>
    <w:rsid w:val="00295B3B"/>
    <w:rsid w:val="00295C61"/>
    <w:rsid w:val="00295DF0"/>
    <w:rsid w:val="002968F9"/>
    <w:rsid w:val="002978EE"/>
    <w:rsid w:val="00297F4E"/>
    <w:rsid w:val="002A2481"/>
    <w:rsid w:val="002A2D7C"/>
    <w:rsid w:val="002A2E07"/>
    <w:rsid w:val="002A352A"/>
    <w:rsid w:val="002A3A69"/>
    <w:rsid w:val="002A3AA6"/>
    <w:rsid w:val="002A4ADD"/>
    <w:rsid w:val="002A4CE7"/>
    <w:rsid w:val="002A70AF"/>
    <w:rsid w:val="002A7EDE"/>
    <w:rsid w:val="002A7FCF"/>
    <w:rsid w:val="002B1A98"/>
    <w:rsid w:val="002B2A36"/>
    <w:rsid w:val="002B3329"/>
    <w:rsid w:val="002B33B2"/>
    <w:rsid w:val="002B3B7B"/>
    <w:rsid w:val="002B3D05"/>
    <w:rsid w:val="002B472C"/>
    <w:rsid w:val="002B55E5"/>
    <w:rsid w:val="002B5921"/>
    <w:rsid w:val="002B65B5"/>
    <w:rsid w:val="002B6960"/>
    <w:rsid w:val="002B69CE"/>
    <w:rsid w:val="002C0926"/>
    <w:rsid w:val="002C0C58"/>
    <w:rsid w:val="002C11EF"/>
    <w:rsid w:val="002C19CE"/>
    <w:rsid w:val="002C3E02"/>
    <w:rsid w:val="002C461C"/>
    <w:rsid w:val="002C4B85"/>
    <w:rsid w:val="002C4F88"/>
    <w:rsid w:val="002C62B6"/>
    <w:rsid w:val="002C7174"/>
    <w:rsid w:val="002C7CB1"/>
    <w:rsid w:val="002D0889"/>
    <w:rsid w:val="002D0A29"/>
    <w:rsid w:val="002D0A7A"/>
    <w:rsid w:val="002D1392"/>
    <w:rsid w:val="002D1A4E"/>
    <w:rsid w:val="002D1B12"/>
    <w:rsid w:val="002D2BC7"/>
    <w:rsid w:val="002D2BE8"/>
    <w:rsid w:val="002D34CF"/>
    <w:rsid w:val="002D3915"/>
    <w:rsid w:val="002D430D"/>
    <w:rsid w:val="002D47D4"/>
    <w:rsid w:val="002D58BA"/>
    <w:rsid w:val="002D6E61"/>
    <w:rsid w:val="002D7DA4"/>
    <w:rsid w:val="002E1363"/>
    <w:rsid w:val="002E1760"/>
    <w:rsid w:val="002E1F14"/>
    <w:rsid w:val="002E22E0"/>
    <w:rsid w:val="002E3192"/>
    <w:rsid w:val="002E3A07"/>
    <w:rsid w:val="002E3CCC"/>
    <w:rsid w:val="002E69BB"/>
    <w:rsid w:val="002F010E"/>
    <w:rsid w:val="002F0802"/>
    <w:rsid w:val="002F0B57"/>
    <w:rsid w:val="002F2100"/>
    <w:rsid w:val="002F2B22"/>
    <w:rsid w:val="002F4143"/>
    <w:rsid w:val="002F42C5"/>
    <w:rsid w:val="002F4536"/>
    <w:rsid w:val="002F4B2A"/>
    <w:rsid w:val="002F60C0"/>
    <w:rsid w:val="002F6DAA"/>
    <w:rsid w:val="002F7AE9"/>
    <w:rsid w:val="003014C1"/>
    <w:rsid w:val="00301991"/>
    <w:rsid w:val="003021DE"/>
    <w:rsid w:val="003030B2"/>
    <w:rsid w:val="003042F2"/>
    <w:rsid w:val="003043A2"/>
    <w:rsid w:val="00305D80"/>
    <w:rsid w:val="00305DF6"/>
    <w:rsid w:val="003067A8"/>
    <w:rsid w:val="00310452"/>
    <w:rsid w:val="00310AC9"/>
    <w:rsid w:val="003111AC"/>
    <w:rsid w:val="00311AEE"/>
    <w:rsid w:val="003138F4"/>
    <w:rsid w:val="00313CD2"/>
    <w:rsid w:val="00314B3C"/>
    <w:rsid w:val="00315C4F"/>
    <w:rsid w:val="0031713E"/>
    <w:rsid w:val="00317DF0"/>
    <w:rsid w:val="003200FE"/>
    <w:rsid w:val="0032074F"/>
    <w:rsid w:val="00320C5F"/>
    <w:rsid w:val="00321442"/>
    <w:rsid w:val="00321A48"/>
    <w:rsid w:val="00322730"/>
    <w:rsid w:val="00322A1D"/>
    <w:rsid w:val="00323297"/>
    <w:rsid w:val="00324644"/>
    <w:rsid w:val="00325228"/>
    <w:rsid w:val="003252F6"/>
    <w:rsid w:val="00325757"/>
    <w:rsid w:val="00327292"/>
    <w:rsid w:val="00330B18"/>
    <w:rsid w:val="00332893"/>
    <w:rsid w:val="00333AB0"/>
    <w:rsid w:val="00333C51"/>
    <w:rsid w:val="00333D47"/>
    <w:rsid w:val="00335D00"/>
    <w:rsid w:val="00336118"/>
    <w:rsid w:val="003373AF"/>
    <w:rsid w:val="00337871"/>
    <w:rsid w:val="00340FF4"/>
    <w:rsid w:val="00341253"/>
    <w:rsid w:val="00341D43"/>
    <w:rsid w:val="0034265E"/>
    <w:rsid w:val="00343A3E"/>
    <w:rsid w:val="00344115"/>
    <w:rsid w:val="00344D08"/>
    <w:rsid w:val="003451CA"/>
    <w:rsid w:val="00346365"/>
    <w:rsid w:val="0034796F"/>
    <w:rsid w:val="00347A59"/>
    <w:rsid w:val="00347B80"/>
    <w:rsid w:val="003510C3"/>
    <w:rsid w:val="003512CE"/>
    <w:rsid w:val="0035140C"/>
    <w:rsid w:val="00352833"/>
    <w:rsid w:val="00353585"/>
    <w:rsid w:val="00354E83"/>
    <w:rsid w:val="00354EE4"/>
    <w:rsid w:val="00354FAF"/>
    <w:rsid w:val="0035570B"/>
    <w:rsid w:val="0035574C"/>
    <w:rsid w:val="00356448"/>
    <w:rsid w:val="003565E6"/>
    <w:rsid w:val="0035725B"/>
    <w:rsid w:val="003578C0"/>
    <w:rsid w:val="00360062"/>
    <w:rsid w:val="00360E3A"/>
    <w:rsid w:val="003637C3"/>
    <w:rsid w:val="00364C0A"/>
    <w:rsid w:val="00364E1E"/>
    <w:rsid w:val="00365914"/>
    <w:rsid w:val="00365A8C"/>
    <w:rsid w:val="003666ED"/>
    <w:rsid w:val="003669F2"/>
    <w:rsid w:val="00366D01"/>
    <w:rsid w:val="0036783F"/>
    <w:rsid w:val="0037028A"/>
    <w:rsid w:val="00370E45"/>
    <w:rsid w:val="00371576"/>
    <w:rsid w:val="0037332F"/>
    <w:rsid w:val="003751B4"/>
    <w:rsid w:val="00375B7A"/>
    <w:rsid w:val="003770EB"/>
    <w:rsid w:val="00377296"/>
    <w:rsid w:val="003773F4"/>
    <w:rsid w:val="003801D3"/>
    <w:rsid w:val="0038081A"/>
    <w:rsid w:val="00382202"/>
    <w:rsid w:val="003845DA"/>
    <w:rsid w:val="0038476A"/>
    <w:rsid w:val="00384F25"/>
    <w:rsid w:val="00385021"/>
    <w:rsid w:val="00385725"/>
    <w:rsid w:val="0038635B"/>
    <w:rsid w:val="00392D50"/>
    <w:rsid w:val="00393677"/>
    <w:rsid w:val="0039430D"/>
    <w:rsid w:val="003953BC"/>
    <w:rsid w:val="00396D1B"/>
    <w:rsid w:val="003973F8"/>
    <w:rsid w:val="00397B4F"/>
    <w:rsid w:val="003A1BC5"/>
    <w:rsid w:val="003A25B4"/>
    <w:rsid w:val="003A34F5"/>
    <w:rsid w:val="003A4221"/>
    <w:rsid w:val="003A4610"/>
    <w:rsid w:val="003A544B"/>
    <w:rsid w:val="003A6246"/>
    <w:rsid w:val="003A65D4"/>
    <w:rsid w:val="003A7AA4"/>
    <w:rsid w:val="003B00D6"/>
    <w:rsid w:val="003B0329"/>
    <w:rsid w:val="003B0587"/>
    <w:rsid w:val="003B06E7"/>
    <w:rsid w:val="003B0EA6"/>
    <w:rsid w:val="003B162A"/>
    <w:rsid w:val="003B1A62"/>
    <w:rsid w:val="003B2C21"/>
    <w:rsid w:val="003B3C7B"/>
    <w:rsid w:val="003B4C18"/>
    <w:rsid w:val="003B4D05"/>
    <w:rsid w:val="003B5461"/>
    <w:rsid w:val="003B6C9B"/>
    <w:rsid w:val="003B6D80"/>
    <w:rsid w:val="003B7942"/>
    <w:rsid w:val="003C0867"/>
    <w:rsid w:val="003C0E14"/>
    <w:rsid w:val="003C15DC"/>
    <w:rsid w:val="003C246F"/>
    <w:rsid w:val="003C2AE0"/>
    <w:rsid w:val="003C4494"/>
    <w:rsid w:val="003C4566"/>
    <w:rsid w:val="003C47C3"/>
    <w:rsid w:val="003C4D41"/>
    <w:rsid w:val="003C51C2"/>
    <w:rsid w:val="003C5EB0"/>
    <w:rsid w:val="003C6B13"/>
    <w:rsid w:val="003C75CC"/>
    <w:rsid w:val="003C75E0"/>
    <w:rsid w:val="003D1A6C"/>
    <w:rsid w:val="003D2062"/>
    <w:rsid w:val="003D24A5"/>
    <w:rsid w:val="003D2A3B"/>
    <w:rsid w:val="003D4D1D"/>
    <w:rsid w:val="003D5B74"/>
    <w:rsid w:val="003D5C6D"/>
    <w:rsid w:val="003D6BBB"/>
    <w:rsid w:val="003D6BF4"/>
    <w:rsid w:val="003E21FD"/>
    <w:rsid w:val="003E25C1"/>
    <w:rsid w:val="003E2659"/>
    <w:rsid w:val="003E2A68"/>
    <w:rsid w:val="003E2DE2"/>
    <w:rsid w:val="003E2FFB"/>
    <w:rsid w:val="003E44EA"/>
    <w:rsid w:val="003E6018"/>
    <w:rsid w:val="003E70C8"/>
    <w:rsid w:val="003E7B30"/>
    <w:rsid w:val="003E7C9C"/>
    <w:rsid w:val="003F0A88"/>
    <w:rsid w:val="003F189D"/>
    <w:rsid w:val="003F3764"/>
    <w:rsid w:val="003F3B67"/>
    <w:rsid w:val="003F4258"/>
    <w:rsid w:val="003F5741"/>
    <w:rsid w:val="003F5857"/>
    <w:rsid w:val="003F5896"/>
    <w:rsid w:val="003F7747"/>
    <w:rsid w:val="003F77F9"/>
    <w:rsid w:val="00401F0B"/>
    <w:rsid w:val="004022D7"/>
    <w:rsid w:val="004040FE"/>
    <w:rsid w:val="004042A7"/>
    <w:rsid w:val="00404B3D"/>
    <w:rsid w:val="004054E9"/>
    <w:rsid w:val="00406302"/>
    <w:rsid w:val="004077FC"/>
    <w:rsid w:val="004103FF"/>
    <w:rsid w:val="00410A12"/>
    <w:rsid w:val="00411005"/>
    <w:rsid w:val="00411E90"/>
    <w:rsid w:val="00413393"/>
    <w:rsid w:val="00413FA3"/>
    <w:rsid w:val="004146AF"/>
    <w:rsid w:val="00414D09"/>
    <w:rsid w:val="00416A7C"/>
    <w:rsid w:val="004170F9"/>
    <w:rsid w:val="00420919"/>
    <w:rsid w:val="00423127"/>
    <w:rsid w:val="00423629"/>
    <w:rsid w:val="00426DF0"/>
    <w:rsid w:val="00427A72"/>
    <w:rsid w:val="00427E61"/>
    <w:rsid w:val="004302B9"/>
    <w:rsid w:val="00431869"/>
    <w:rsid w:val="00431967"/>
    <w:rsid w:val="00431CF1"/>
    <w:rsid w:val="00431D56"/>
    <w:rsid w:val="00433012"/>
    <w:rsid w:val="00433771"/>
    <w:rsid w:val="00433EC3"/>
    <w:rsid w:val="004363FD"/>
    <w:rsid w:val="004374D1"/>
    <w:rsid w:val="004402E4"/>
    <w:rsid w:val="004404F4"/>
    <w:rsid w:val="00440D49"/>
    <w:rsid w:val="00440FC3"/>
    <w:rsid w:val="00442027"/>
    <w:rsid w:val="00442B59"/>
    <w:rsid w:val="004433E8"/>
    <w:rsid w:val="00443A6F"/>
    <w:rsid w:val="00443FFF"/>
    <w:rsid w:val="004441A2"/>
    <w:rsid w:val="0044455A"/>
    <w:rsid w:val="004449F1"/>
    <w:rsid w:val="004451AE"/>
    <w:rsid w:val="004469A3"/>
    <w:rsid w:val="00446A13"/>
    <w:rsid w:val="00446D99"/>
    <w:rsid w:val="00447528"/>
    <w:rsid w:val="004476D7"/>
    <w:rsid w:val="0045063A"/>
    <w:rsid w:val="00450AD0"/>
    <w:rsid w:val="00451A20"/>
    <w:rsid w:val="00451B12"/>
    <w:rsid w:val="00451B25"/>
    <w:rsid w:val="00451FFF"/>
    <w:rsid w:val="004528F4"/>
    <w:rsid w:val="00453656"/>
    <w:rsid w:val="00454456"/>
    <w:rsid w:val="00454BFB"/>
    <w:rsid w:val="00454CAE"/>
    <w:rsid w:val="00454F96"/>
    <w:rsid w:val="00455DDD"/>
    <w:rsid w:val="00455F6D"/>
    <w:rsid w:val="0045623B"/>
    <w:rsid w:val="00456603"/>
    <w:rsid w:val="004569F9"/>
    <w:rsid w:val="00456EFE"/>
    <w:rsid w:val="004577C8"/>
    <w:rsid w:val="004600C0"/>
    <w:rsid w:val="00460955"/>
    <w:rsid w:val="00460D0C"/>
    <w:rsid w:val="00462487"/>
    <w:rsid w:val="00464929"/>
    <w:rsid w:val="00464AA7"/>
    <w:rsid w:val="004658C1"/>
    <w:rsid w:val="00465A9F"/>
    <w:rsid w:val="004666C0"/>
    <w:rsid w:val="00466959"/>
    <w:rsid w:val="00466D85"/>
    <w:rsid w:val="00467E04"/>
    <w:rsid w:val="00471204"/>
    <w:rsid w:val="004713C6"/>
    <w:rsid w:val="004714E4"/>
    <w:rsid w:val="00471A81"/>
    <w:rsid w:val="00472239"/>
    <w:rsid w:val="00473F62"/>
    <w:rsid w:val="004764DE"/>
    <w:rsid w:val="00476C07"/>
    <w:rsid w:val="0048058B"/>
    <w:rsid w:val="00480D7C"/>
    <w:rsid w:val="00481568"/>
    <w:rsid w:val="00481ADB"/>
    <w:rsid w:val="00482AD5"/>
    <w:rsid w:val="0048377D"/>
    <w:rsid w:val="00483939"/>
    <w:rsid w:val="0048533F"/>
    <w:rsid w:val="00486CA2"/>
    <w:rsid w:val="00486CC2"/>
    <w:rsid w:val="00487AC1"/>
    <w:rsid w:val="0049101B"/>
    <w:rsid w:val="004920B8"/>
    <w:rsid w:val="00493C91"/>
    <w:rsid w:val="00493E77"/>
    <w:rsid w:val="0049498D"/>
    <w:rsid w:val="004962F9"/>
    <w:rsid w:val="0049630A"/>
    <w:rsid w:val="004963E1"/>
    <w:rsid w:val="004966D4"/>
    <w:rsid w:val="00497B0A"/>
    <w:rsid w:val="004A16E0"/>
    <w:rsid w:val="004A3626"/>
    <w:rsid w:val="004A3F6C"/>
    <w:rsid w:val="004A4900"/>
    <w:rsid w:val="004A55BF"/>
    <w:rsid w:val="004A6303"/>
    <w:rsid w:val="004A64EF"/>
    <w:rsid w:val="004A6A48"/>
    <w:rsid w:val="004A7B01"/>
    <w:rsid w:val="004A7C56"/>
    <w:rsid w:val="004B0475"/>
    <w:rsid w:val="004B1293"/>
    <w:rsid w:val="004B1D55"/>
    <w:rsid w:val="004B2332"/>
    <w:rsid w:val="004B3535"/>
    <w:rsid w:val="004B359D"/>
    <w:rsid w:val="004B39FB"/>
    <w:rsid w:val="004B4826"/>
    <w:rsid w:val="004B5B5E"/>
    <w:rsid w:val="004B635E"/>
    <w:rsid w:val="004B6C50"/>
    <w:rsid w:val="004B6C8A"/>
    <w:rsid w:val="004B76EA"/>
    <w:rsid w:val="004B7790"/>
    <w:rsid w:val="004C0816"/>
    <w:rsid w:val="004C11A6"/>
    <w:rsid w:val="004C1529"/>
    <w:rsid w:val="004C2F52"/>
    <w:rsid w:val="004C459D"/>
    <w:rsid w:val="004C47DF"/>
    <w:rsid w:val="004C486A"/>
    <w:rsid w:val="004C4E71"/>
    <w:rsid w:val="004D02CC"/>
    <w:rsid w:val="004D1CD5"/>
    <w:rsid w:val="004D2662"/>
    <w:rsid w:val="004D2EAF"/>
    <w:rsid w:val="004D4467"/>
    <w:rsid w:val="004D446D"/>
    <w:rsid w:val="004D456C"/>
    <w:rsid w:val="004D50D8"/>
    <w:rsid w:val="004E06DF"/>
    <w:rsid w:val="004E16D0"/>
    <w:rsid w:val="004E1A31"/>
    <w:rsid w:val="004E1B5B"/>
    <w:rsid w:val="004E336E"/>
    <w:rsid w:val="004E36C2"/>
    <w:rsid w:val="004E42B3"/>
    <w:rsid w:val="004E464D"/>
    <w:rsid w:val="004E5DF8"/>
    <w:rsid w:val="004E713F"/>
    <w:rsid w:val="004E79D6"/>
    <w:rsid w:val="004F0403"/>
    <w:rsid w:val="004F0DD8"/>
    <w:rsid w:val="004F11F1"/>
    <w:rsid w:val="004F196E"/>
    <w:rsid w:val="004F289C"/>
    <w:rsid w:val="004F2EBA"/>
    <w:rsid w:val="004F3A92"/>
    <w:rsid w:val="004F5339"/>
    <w:rsid w:val="004F542D"/>
    <w:rsid w:val="004F5969"/>
    <w:rsid w:val="004F5D3B"/>
    <w:rsid w:val="004F6634"/>
    <w:rsid w:val="004F6A1B"/>
    <w:rsid w:val="004F6A40"/>
    <w:rsid w:val="004F6D92"/>
    <w:rsid w:val="004F6DAE"/>
    <w:rsid w:val="004F6EA0"/>
    <w:rsid w:val="004F747A"/>
    <w:rsid w:val="00500214"/>
    <w:rsid w:val="0050034A"/>
    <w:rsid w:val="00501D2E"/>
    <w:rsid w:val="005024DE"/>
    <w:rsid w:val="005024FA"/>
    <w:rsid w:val="00502BB7"/>
    <w:rsid w:val="00502F20"/>
    <w:rsid w:val="0050319F"/>
    <w:rsid w:val="00505F68"/>
    <w:rsid w:val="005064A1"/>
    <w:rsid w:val="00507684"/>
    <w:rsid w:val="00507E87"/>
    <w:rsid w:val="00510719"/>
    <w:rsid w:val="00512B9A"/>
    <w:rsid w:val="00514118"/>
    <w:rsid w:val="0051424D"/>
    <w:rsid w:val="00516087"/>
    <w:rsid w:val="00516C37"/>
    <w:rsid w:val="00517A93"/>
    <w:rsid w:val="005204DB"/>
    <w:rsid w:val="005214CD"/>
    <w:rsid w:val="00521F23"/>
    <w:rsid w:val="005236A3"/>
    <w:rsid w:val="00524764"/>
    <w:rsid w:val="0052669F"/>
    <w:rsid w:val="00526BCE"/>
    <w:rsid w:val="00527E12"/>
    <w:rsid w:val="00530423"/>
    <w:rsid w:val="00532BEB"/>
    <w:rsid w:val="00532C0D"/>
    <w:rsid w:val="0053325B"/>
    <w:rsid w:val="00534808"/>
    <w:rsid w:val="00534A0A"/>
    <w:rsid w:val="00535761"/>
    <w:rsid w:val="00535787"/>
    <w:rsid w:val="0053578D"/>
    <w:rsid w:val="00535ED5"/>
    <w:rsid w:val="0053667D"/>
    <w:rsid w:val="00540228"/>
    <w:rsid w:val="00540794"/>
    <w:rsid w:val="00540BB8"/>
    <w:rsid w:val="00541324"/>
    <w:rsid w:val="00542EF2"/>
    <w:rsid w:val="00543383"/>
    <w:rsid w:val="00543503"/>
    <w:rsid w:val="00544F0E"/>
    <w:rsid w:val="0054540D"/>
    <w:rsid w:val="00547701"/>
    <w:rsid w:val="005478E9"/>
    <w:rsid w:val="00550F9B"/>
    <w:rsid w:val="0055256D"/>
    <w:rsid w:val="00552888"/>
    <w:rsid w:val="00552DED"/>
    <w:rsid w:val="00553940"/>
    <w:rsid w:val="00555208"/>
    <w:rsid w:val="005552FB"/>
    <w:rsid w:val="00555A40"/>
    <w:rsid w:val="00557F4C"/>
    <w:rsid w:val="005604DF"/>
    <w:rsid w:val="00560A19"/>
    <w:rsid w:val="00561780"/>
    <w:rsid w:val="00563836"/>
    <w:rsid w:val="00563EC3"/>
    <w:rsid w:val="005646C3"/>
    <w:rsid w:val="00564F60"/>
    <w:rsid w:val="005669FC"/>
    <w:rsid w:val="00566AB7"/>
    <w:rsid w:val="00566ADF"/>
    <w:rsid w:val="00570BE1"/>
    <w:rsid w:val="005713C8"/>
    <w:rsid w:val="0057238A"/>
    <w:rsid w:val="005725AD"/>
    <w:rsid w:val="00572F85"/>
    <w:rsid w:val="00573C12"/>
    <w:rsid w:val="005740EA"/>
    <w:rsid w:val="005747CD"/>
    <w:rsid w:val="00574ED6"/>
    <w:rsid w:val="00575865"/>
    <w:rsid w:val="00575905"/>
    <w:rsid w:val="00575A29"/>
    <w:rsid w:val="00576835"/>
    <w:rsid w:val="0057693B"/>
    <w:rsid w:val="0058263D"/>
    <w:rsid w:val="005837FC"/>
    <w:rsid w:val="00583943"/>
    <w:rsid w:val="005848E2"/>
    <w:rsid w:val="00584C77"/>
    <w:rsid w:val="00585426"/>
    <w:rsid w:val="00586CDD"/>
    <w:rsid w:val="00586F51"/>
    <w:rsid w:val="00591490"/>
    <w:rsid w:val="00591793"/>
    <w:rsid w:val="00592FAB"/>
    <w:rsid w:val="00593047"/>
    <w:rsid w:val="0059340C"/>
    <w:rsid w:val="005946D5"/>
    <w:rsid w:val="005948F3"/>
    <w:rsid w:val="005957DF"/>
    <w:rsid w:val="00595AE8"/>
    <w:rsid w:val="0059715C"/>
    <w:rsid w:val="005A1F6D"/>
    <w:rsid w:val="005A220B"/>
    <w:rsid w:val="005A22C3"/>
    <w:rsid w:val="005A2789"/>
    <w:rsid w:val="005A2D26"/>
    <w:rsid w:val="005A3263"/>
    <w:rsid w:val="005A5236"/>
    <w:rsid w:val="005A53C4"/>
    <w:rsid w:val="005A577A"/>
    <w:rsid w:val="005A732F"/>
    <w:rsid w:val="005A7F27"/>
    <w:rsid w:val="005B0CEB"/>
    <w:rsid w:val="005B2EF6"/>
    <w:rsid w:val="005B35E9"/>
    <w:rsid w:val="005B38D4"/>
    <w:rsid w:val="005B667C"/>
    <w:rsid w:val="005B6FB7"/>
    <w:rsid w:val="005B7BD2"/>
    <w:rsid w:val="005C0087"/>
    <w:rsid w:val="005C0DC9"/>
    <w:rsid w:val="005C1B11"/>
    <w:rsid w:val="005C3515"/>
    <w:rsid w:val="005C4AE3"/>
    <w:rsid w:val="005C5358"/>
    <w:rsid w:val="005C557E"/>
    <w:rsid w:val="005C6B1F"/>
    <w:rsid w:val="005C7A79"/>
    <w:rsid w:val="005D103D"/>
    <w:rsid w:val="005D1D66"/>
    <w:rsid w:val="005D1F51"/>
    <w:rsid w:val="005D3439"/>
    <w:rsid w:val="005D37A9"/>
    <w:rsid w:val="005D3B88"/>
    <w:rsid w:val="005D6976"/>
    <w:rsid w:val="005D7814"/>
    <w:rsid w:val="005D7B89"/>
    <w:rsid w:val="005E1176"/>
    <w:rsid w:val="005E11EA"/>
    <w:rsid w:val="005E193A"/>
    <w:rsid w:val="005E1BD9"/>
    <w:rsid w:val="005E2461"/>
    <w:rsid w:val="005E309B"/>
    <w:rsid w:val="005E3FE9"/>
    <w:rsid w:val="005E4040"/>
    <w:rsid w:val="005E5C0E"/>
    <w:rsid w:val="005E61BE"/>
    <w:rsid w:val="005E7B30"/>
    <w:rsid w:val="005E7C4F"/>
    <w:rsid w:val="005F05F9"/>
    <w:rsid w:val="005F191E"/>
    <w:rsid w:val="005F1A59"/>
    <w:rsid w:val="005F1D3B"/>
    <w:rsid w:val="005F22A2"/>
    <w:rsid w:val="005F2AFF"/>
    <w:rsid w:val="005F37CD"/>
    <w:rsid w:val="005F3D60"/>
    <w:rsid w:val="005F478E"/>
    <w:rsid w:val="005F4E46"/>
    <w:rsid w:val="005F72C3"/>
    <w:rsid w:val="006001D3"/>
    <w:rsid w:val="0060083F"/>
    <w:rsid w:val="00601770"/>
    <w:rsid w:val="00601B6D"/>
    <w:rsid w:val="00602323"/>
    <w:rsid w:val="00602837"/>
    <w:rsid w:val="006035DB"/>
    <w:rsid w:val="006037E2"/>
    <w:rsid w:val="006039C4"/>
    <w:rsid w:val="00603AA7"/>
    <w:rsid w:val="00604514"/>
    <w:rsid w:val="00604FDA"/>
    <w:rsid w:val="006054B7"/>
    <w:rsid w:val="006056DC"/>
    <w:rsid w:val="006058B9"/>
    <w:rsid w:val="006059C0"/>
    <w:rsid w:val="00606A42"/>
    <w:rsid w:val="006070F5"/>
    <w:rsid w:val="00610DFC"/>
    <w:rsid w:val="00612247"/>
    <w:rsid w:val="0061277C"/>
    <w:rsid w:val="00612D14"/>
    <w:rsid w:val="00612DE2"/>
    <w:rsid w:val="006144EF"/>
    <w:rsid w:val="00617968"/>
    <w:rsid w:val="00617E4F"/>
    <w:rsid w:val="00620C13"/>
    <w:rsid w:val="00620D50"/>
    <w:rsid w:val="0062138F"/>
    <w:rsid w:val="00621A53"/>
    <w:rsid w:val="00621F02"/>
    <w:rsid w:val="0062238B"/>
    <w:rsid w:val="006262CA"/>
    <w:rsid w:val="006264D0"/>
    <w:rsid w:val="00626EA6"/>
    <w:rsid w:val="00630C88"/>
    <w:rsid w:val="0063284E"/>
    <w:rsid w:val="00633D41"/>
    <w:rsid w:val="006370CB"/>
    <w:rsid w:val="00637519"/>
    <w:rsid w:val="0064019F"/>
    <w:rsid w:val="00641792"/>
    <w:rsid w:val="00641B94"/>
    <w:rsid w:val="00642663"/>
    <w:rsid w:val="00642F38"/>
    <w:rsid w:val="00644572"/>
    <w:rsid w:val="0064507D"/>
    <w:rsid w:val="0064687A"/>
    <w:rsid w:val="00646EBC"/>
    <w:rsid w:val="0064747F"/>
    <w:rsid w:val="00651034"/>
    <w:rsid w:val="00653ED4"/>
    <w:rsid w:val="00653F8F"/>
    <w:rsid w:val="00654B9A"/>
    <w:rsid w:val="00654D06"/>
    <w:rsid w:val="00657609"/>
    <w:rsid w:val="00660405"/>
    <w:rsid w:val="0066209E"/>
    <w:rsid w:val="0066248A"/>
    <w:rsid w:val="00662B0F"/>
    <w:rsid w:val="00663197"/>
    <w:rsid w:val="0066325C"/>
    <w:rsid w:val="006642E6"/>
    <w:rsid w:val="00665384"/>
    <w:rsid w:val="00665D42"/>
    <w:rsid w:val="00666531"/>
    <w:rsid w:val="00666D75"/>
    <w:rsid w:val="00667259"/>
    <w:rsid w:val="00667874"/>
    <w:rsid w:val="00667BA9"/>
    <w:rsid w:val="0067099C"/>
    <w:rsid w:val="00670E6D"/>
    <w:rsid w:val="00671ABA"/>
    <w:rsid w:val="00671AF0"/>
    <w:rsid w:val="00672BAF"/>
    <w:rsid w:val="00673764"/>
    <w:rsid w:val="00676166"/>
    <w:rsid w:val="006761A7"/>
    <w:rsid w:val="006800E5"/>
    <w:rsid w:val="0068192E"/>
    <w:rsid w:val="00681F19"/>
    <w:rsid w:val="00682367"/>
    <w:rsid w:val="00683151"/>
    <w:rsid w:val="00683D7C"/>
    <w:rsid w:val="0068438C"/>
    <w:rsid w:val="0068455E"/>
    <w:rsid w:val="0068467E"/>
    <w:rsid w:val="006847CD"/>
    <w:rsid w:val="00686528"/>
    <w:rsid w:val="0068727B"/>
    <w:rsid w:val="00687532"/>
    <w:rsid w:val="00687625"/>
    <w:rsid w:val="00687783"/>
    <w:rsid w:val="00690461"/>
    <w:rsid w:val="00691AD9"/>
    <w:rsid w:val="00692275"/>
    <w:rsid w:val="00692A4F"/>
    <w:rsid w:val="006931A1"/>
    <w:rsid w:val="006938A7"/>
    <w:rsid w:val="00694380"/>
    <w:rsid w:val="0069440C"/>
    <w:rsid w:val="0069459C"/>
    <w:rsid w:val="00694B6B"/>
    <w:rsid w:val="00695098"/>
    <w:rsid w:val="00695604"/>
    <w:rsid w:val="0069589C"/>
    <w:rsid w:val="00695D35"/>
    <w:rsid w:val="00695FF5"/>
    <w:rsid w:val="0069663E"/>
    <w:rsid w:val="00696AEF"/>
    <w:rsid w:val="00696D06"/>
    <w:rsid w:val="00696FA2"/>
    <w:rsid w:val="00697E9B"/>
    <w:rsid w:val="006A0F2E"/>
    <w:rsid w:val="006A10EE"/>
    <w:rsid w:val="006A1471"/>
    <w:rsid w:val="006A3FD2"/>
    <w:rsid w:val="006A40DA"/>
    <w:rsid w:val="006A5310"/>
    <w:rsid w:val="006A5357"/>
    <w:rsid w:val="006A5481"/>
    <w:rsid w:val="006A5DD5"/>
    <w:rsid w:val="006A647B"/>
    <w:rsid w:val="006A6E3C"/>
    <w:rsid w:val="006A7CCB"/>
    <w:rsid w:val="006A7F7D"/>
    <w:rsid w:val="006B020E"/>
    <w:rsid w:val="006B046B"/>
    <w:rsid w:val="006B0478"/>
    <w:rsid w:val="006B0586"/>
    <w:rsid w:val="006B1C2E"/>
    <w:rsid w:val="006B1E6C"/>
    <w:rsid w:val="006B3447"/>
    <w:rsid w:val="006B3997"/>
    <w:rsid w:val="006B3DB5"/>
    <w:rsid w:val="006B4C7D"/>
    <w:rsid w:val="006B5550"/>
    <w:rsid w:val="006B6812"/>
    <w:rsid w:val="006B682A"/>
    <w:rsid w:val="006B7926"/>
    <w:rsid w:val="006B7AD8"/>
    <w:rsid w:val="006C0BFB"/>
    <w:rsid w:val="006C1667"/>
    <w:rsid w:val="006C22E5"/>
    <w:rsid w:val="006C2623"/>
    <w:rsid w:val="006C40C8"/>
    <w:rsid w:val="006C4B5D"/>
    <w:rsid w:val="006C5D15"/>
    <w:rsid w:val="006C5FC6"/>
    <w:rsid w:val="006D05F8"/>
    <w:rsid w:val="006D0FAA"/>
    <w:rsid w:val="006D1E32"/>
    <w:rsid w:val="006D24E6"/>
    <w:rsid w:val="006D26EE"/>
    <w:rsid w:val="006D3DB8"/>
    <w:rsid w:val="006D3F19"/>
    <w:rsid w:val="006D433A"/>
    <w:rsid w:val="006D4E38"/>
    <w:rsid w:val="006D57AC"/>
    <w:rsid w:val="006D5C6A"/>
    <w:rsid w:val="006D62E4"/>
    <w:rsid w:val="006E0D20"/>
    <w:rsid w:val="006E1097"/>
    <w:rsid w:val="006E1A1B"/>
    <w:rsid w:val="006E1CD1"/>
    <w:rsid w:val="006E1CF1"/>
    <w:rsid w:val="006E3961"/>
    <w:rsid w:val="006E455F"/>
    <w:rsid w:val="006E56E7"/>
    <w:rsid w:val="006E68A1"/>
    <w:rsid w:val="006E69BF"/>
    <w:rsid w:val="006E6F34"/>
    <w:rsid w:val="006E7BC3"/>
    <w:rsid w:val="006F17B1"/>
    <w:rsid w:val="006F3EC0"/>
    <w:rsid w:val="006F644A"/>
    <w:rsid w:val="006F6505"/>
    <w:rsid w:val="006F6EFD"/>
    <w:rsid w:val="006F7D58"/>
    <w:rsid w:val="00700672"/>
    <w:rsid w:val="00700CF4"/>
    <w:rsid w:val="00701363"/>
    <w:rsid w:val="007017C7"/>
    <w:rsid w:val="007019C0"/>
    <w:rsid w:val="00701F65"/>
    <w:rsid w:val="007028D6"/>
    <w:rsid w:val="00703B2B"/>
    <w:rsid w:val="00703BE1"/>
    <w:rsid w:val="00703C20"/>
    <w:rsid w:val="007047FF"/>
    <w:rsid w:val="007048DF"/>
    <w:rsid w:val="007061C8"/>
    <w:rsid w:val="007070ED"/>
    <w:rsid w:val="007073EE"/>
    <w:rsid w:val="00707C64"/>
    <w:rsid w:val="00710367"/>
    <w:rsid w:val="00710697"/>
    <w:rsid w:val="00710A1D"/>
    <w:rsid w:val="00712188"/>
    <w:rsid w:val="00712A00"/>
    <w:rsid w:val="00713C4F"/>
    <w:rsid w:val="007146A7"/>
    <w:rsid w:val="00714B64"/>
    <w:rsid w:val="00714FAC"/>
    <w:rsid w:val="00715242"/>
    <w:rsid w:val="007163B5"/>
    <w:rsid w:val="007170D3"/>
    <w:rsid w:val="00720215"/>
    <w:rsid w:val="0072057D"/>
    <w:rsid w:val="00721E62"/>
    <w:rsid w:val="00722095"/>
    <w:rsid w:val="00722BEC"/>
    <w:rsid w:val="00723EF5"/>
    <w:rsid w:val="007248AB"/>
    <w:rsid w:val="00725150"/>
    <w:rsid w:val="0072536D"/>
    <w:rsid w:val="00730217"/>
    <w:rsid w:val="007306F8"/>
    <w:rsid w:val="00732249"/>
    <w:rsid w:val="00732964"/>
    <w:rsid w:val="007329B8"/>
    <w:rsid w:val="00733000"/>
    <w:rsid w:val="007333B4"/>
    <w:rsid w:val="007344A9"/>
    <w:rsid w:val="00736BD9"/>
    <w:rsid w:val="00737835"/>
    <w:rsid w:val="00740594"/>
    <w:rsid w:val="0074248C"/>
    <w:rsid w:val="00742EA5"/>
    <w:rsid w:val="00743529"/>
    <w:rsid w:val="00743EBB"/>
    <w:rsid w:val="007457D9"/>
    <w:rsid w:val="00745FF5"/>
    <w:rsid w:val="00746086"/>
    <w:rsid w:val="00747A7B"/>
    <w:rsid w:val="00747C6D"/>
    <w:rsid w:val="00747E0F"/>
    <w:rsid w:val="00750DC5"/>
    <w:rsid w:val="00752009"/>
    <w:rsid w:val="00752199"/>
    <w:rsid w:val="007526E3"/>
    <w:rsid w:val="00752D5D"/>
    <w:rsid w:val="00753167"/>
    <w:rsid w:val="00753930"/>
    <w:rsid w:val="00753E1C"/>
    <w:rsid w:val="00753E38"/>
    <w:rsid w:val="00753EDA"/>
    <w:rsid w:val="00755CFC"/>
    <w:rsid w:val="00755FD0"/>
    <w:rsid w:val="0075732D"/>
    <w:rsid w:val="00761188"/>
    <w:rsid w:val="00763195"/>
    <w:rsid w:val="0076442E"/>
    <w:rsid w:val="00767F39"/>
    <w:rsid w:val="00770E4B"/>
    <w:rsid w:val="00771F93"/>
    <w:rsid w:val="007725E5"/>
    <w:rsid w:val="00772B6F"/>
    <w:rsid w:val="007736B6"/>
    <w:rsid w:val="00774B5C"/>
    <w:rsid w:val="00774DF3"/>
    <w:rsid w:val="00776646"/>
    <w:rsid w:val="00777055"/>
    <w:rsid w:val="007775AC"/>
    <w:rsid w:val="00777674"/>
    <w:rsid w:val="00777946"/>
    <w:rsid w:val="00781058"/>
    <w:rsid w:val="007812A6"/>
    <w:rsid w:val="00782275"/>
    <w:rsid w:val="00782BCA"/>
    <w:rsid w:val="0078520A"/>
    <w:rsid w:val="007876C1"/>
    <w:rsid w:val="00790211"/>
    <w:rsid w:val="00790313"/>
    <w:rsid w:val="0079126A"/>
    <w:rsid w:val="00791A67"/>
    <w:rsid w:val="0079337B"/>
    <w:rsid w:val="00793492"/>
    <w:rsid w:val="00793F49"/>
    <w:rsid w:val="00794090"/>
    <w:rsid w:val="007945CD"/>
    <w:rsid w:val="007947FE"/>
    <w:rsid w:val="00794E60"/>
    <w:rsid w:val="0079781E"/>
    <w:rsid w:val="00797CE2"/>
    <w:rsid w:val="007A113C"/>
    <w:rsid w:val="007A1E39"/>
    <w:rsid w:val="007A26A9"/>
    <w:rsid w:val="007A2D2E"/>
    <w:rsid w:val="007A2E82"/>
    <w:rsid w:val="007A3F7A"/>
    <w:rsid w:val="007A4DC3"/>
    <w:rsid w:val="007A4FE8"/>
    <w:rsid w:val="007A55EF"/>
    <w:rsid w:val="007A69EB"/>
    <w:rsid w:val="007A7BF1"/>
    <w:rsid w:val="007B067F"/>
    <w:rsid w:val="007B23C1"/>
    <w:rsid w:val="007B3852"/>
    <w:rsid w:val="007B38A3"/>
    <w:rsid w:val="007B4A69"/>
    <w:rsid w:val="007B50E0"/>
    <w:rsid w:val="007B646E"/>
    <w:rsid w:val="007C0B6B"/>
    <w:rsid w:val="007C1227"/>
    <w:rsid w:val="007C1FF3"/>
    <w:rsid w:val="007C4BDC"/>
    <w:rsid w:val="007C59A4"/>
    <w:rsid w:val="007C5DA9"/>
    <w:rsid w:val="007C6D8B"/>
    <w:rsid w:val="007D06B3"/>
    <w:rsid w:val="007D098E"/>
    <w:rsid w:val="007D0B02"/>
    <w:rsid w:val="007D17CA"/>
    <w:rsid w:val="007D224C"/>
    <w:rsid w:val="007D27FD"/>
    <w:rsid w:val="007D2D0E"/>
    <w:rsid w:val="007D3449"/>
    <w:rsid w:val="007D434A"/>
    <w:rsid w:val="007D558F"/>
    <w:rsid w:val="007D6078"/>
    <w:rsid w:val="007D6E39"/>
    <w:rsid w:val="007D7090"/>
    <w:rsid w:val="007D75AB"/>
    <w:rsid w:val="007D7F2D"/>
    <w:rsid w:val="007E149A"/>
    <w:rsid w:val="007E1803"/>
    <w:rsid w:val="007E2341"/>
    <w:rsid w:val="007E3777"/>
    <w:rsid w:val="007E37F0"/>
    <w:rsid w:val="007E3E89"/>
    <w:rsid w:val="007E4323"/>
    <w:rsid w:val="007E4886"/>
    <w:rsid w:val="007E50DF"/>
    <w:rsid w:val="007E5D63"/>
    <w:rsid w:val="007E68C6"/>
    <w:rsid w:val="007E7D78"/>
    <w:rsid w:val="007F0A9A"/>
    <w:rsid w:val="007F0F8F"/>
    <w:rsid w:val="007F2F6D"/>
    <w:rsid w:val="007F3BF9"/>
    <w:rsid w:val="007F5F89"/>
    <w:rsid w:val="007F7311"/>
    <w:rsid w:val="00800CF5"/>
    <w:rsid w:val="0080299B"/>
    <w:rsid w:val="0080311B"/>
    <w:rsid w:val="00804921"/>
    <w:rsid w:val="00806E79"/>
    <w:rsid w:val="00807434"/>
    <w:rsid w:val="00807978"/>
    <w:rsid w:val="00810FF6"/>
    <w:rsid w:val="0081271D"/>
    <w:rsid w:val="00813854"/>
    <w:rsid w:val="00813AC7"/>
    <w:rsid w:val="00813F01"/>
    <w:rsid w:val="00814A44"/>
    <w:rsid w:val="00815F5C"/>
    <w:rsid w:val="008162AF"/>
    <w:rsid w:val="00817414"/>
    <w:rsid w:val="00817D51"/>
    <w:rsid w:val="008201AB"/>
    <w:rsid w:val="00821001"/>
    <w:rsid w:val="0082127C"/>
    <w:rsid w:val="008222B6"/>
    <w:rsid w:val="008224E2"/>
    <w:rsid w:val="00822686"/>
    <w:rsid w:val="00824486"/>
    <w:rsid w:val="00824ECB"/>
    <w:rsid w:val="00825D8D"/>
    <w:rsid w:val="00826629"/>
    <w:rsid w:val="0082669A"/>
    <w:rsid w:val="00826F0A"/>
    <w:rsid w:val="00827EC1"/>
    <w:rsid w:val="00830F0C"/>
    <w:rsid w:val="00832E2D"/>
    <w:rsid w:val="00832F09"/>
    <w:rsid w:val="008333E7"/>
    <w:rsid w:val="008336B9"/>
    <w:rsid w:val="008350FC"/>
    <w:rsid w:val="0083532E"/>
    <w:rsid w:val="008356AC"/>
    <w:rsid w:val="0084030C"/>
    <w:rsid w:val="00840AF0"/>
    <w:rsid w:val="0084215C"/>
    <w:rsid w:val="00844077"/>
    <w:rsid w:val="00844E83"/>
    <w:rsid w:val="00844F20"/>
    <w:rsid w:val="008455A4"/>
    <w:rsid w:val="00845AE3"/>
    <w:rsid w:val="00846FFC"/>
    <w:rsid w:val="008475D9"/>
    <w:rsid w:val="00847CF1"/>
    <w:rsid w:val="00850C19"/>
    <w:rsid w:val="0085340C"/>
    <w:rsid w:val="00853A5D"/>
    <w:rsid w:val="008556E7"/>
    <w:rsid w:val="00855C06"/>
    <w:rsid w:val="0086096A"/>
    <w:rsid w:val="00861137"/>
    <w:rsid w:val="0086160E"/>
    <w:rsid w:val="00863496"/>
    <w:rsid w:val="00863E7F"/>
    <w:rsid w:val="00863EB3"/>
    <w:rsid w:val="008640EB"/>
    <w:rsid w:val="0086619F"/>
    <w:rsid w:val="00866979"/>
    <w:rsid w:val="00866ADA"/>
    <w:rsid w:val="0086756F"/>
    <w:rsid w:val="00867811"/>
    <w:rsid w:val="00867848"/>
    <w:rsid w:val="00867E95"/>
    <w:rsid w:val="0087191D"/>
    <w:rsid w:val="00872D5F"/>
    <w:rsid w:val="008737B1"/>
    <w:rsid w:val="0087460C"/>
    <w:rsid w:val="00874A82"/>
    <w:rsid w:val="008759CF"/>
    <w:rsid w:val="008761FE"/>
    <w:rsid w:val="0087693E"/>
    <w:rsid w:val="00876F5E"/>
    <w:rsid w:val="00877098"/>
    <w:rsid w:val="00877250"/>
    <w:rsid w:val="00880E38"/>
    <w:rsid w:val="00881144"/>
    <w:rsid w:val="00883A2B"/>
    <w:rsid w:val="00883FBF"/>
    <w:rsid w:val="00884341"/>
    <w:rsid w:val="00884DF8"/>
    <w:rsid w:val="00884F5C"/>
    <w:rsid w:val="008850B5"/>
    <w:rsid w:val="00885DBA"/>
    <w:rsid w:val="00886B8A"/>
    <w:rsid w:val="0088783D"/>
    <w:rsid w:val="008878A6"/>
    <w:rsid w:val="00890760"/>
    <w:rsid w:val="008929F9"/>
    <w:rsid w:val="008939DF"/>
    <w:rsid w:val="00893E13"/>
    <w:rsid w:val="00894293"/>
    <w:rsid w:val="00894AA1"/>
    <w:rsid w:val="0089650F"/>
    <w:rsid w:val="008A0BB0"/>
    <w:rsid w:val="008A1DC4"/>
    <w:rsid w:val="008A3080"/>
    <w:rsid w:val="008A4795"/>
    <w:rsid w:val="008A4842"/>
    <w:rsid w:val="008A5880"/>
    <w:rsid w:val="008A5B93"/>
    <w:rsid w:val="008A6601"/>
    <w:rsid w:val="008A66C8"/>
    <w:rsid w:val="008A6B26"/>
    <w:rsid w:val="008A6CD5"/>
    <w:rsid w:val="008A6EBC"/>
    <w:rsid w:val="008B0FF9"/>
    <w:rsid w:val="008B1A96"/>
    <w:rsid w:val="008B1BE4"/>
    <w:rsid w:val="008B29FC"/>
    <w:rsid w:val="008B3203"/>
    <w:rsid w:val="008B4724"/>
    <w:rsid w:val="008B47A7"/>
    <w:rsid w:val="008B578F"/>
    <w:rsid w:val="008B5C38"/>
    <w:rsid w:val="008B6981"/>
    <w:rsid w:val="008B7A92"/>
    <w:rsid w:val="008C0295"/>
    <w:rsid w:val="008C0B0E"/>
    <w:rsid w:val="008C3767"/>
    <w:rsid w:val="008C399D"/>
    <w:rsid w:val="008C3F6A"/>
    <w:rsid w:val="008C4251"/>
    <w:rsid w:val="008C5086"/>
    <w:rsid w:val="008C7C6C"/>
    <w:rsid w:val="008D0B49"/>
    <w:rsid w:val="008D1201"/>
    <w:rsid w:val="008D26AE"/>
    <w:rsid w:val="008D290C"/>
    <w:rsid w:val="008D2F96"/>
    <w:rsid w:val="008D3C0F"/>
    <w:rsid w:val="008D4E69"/>
    <w:rsid w:val="008D50AE"/>
    <w:rsid w:val="008D5555"/>
    <w:rsid w:val="008D5C5E"/>
    <w:rsid w:val="008D5E12"/>
    <w:rsid w:val="008D6711"/>
    <w:rsid w:val="008D6833"/>
    <w:rsid w:val="008E072F"/>
    <w:rsid w:val="008E1A3A"/>
    <w:rsid w:val="008E1B0F"/>
    <w:rsid w:val="008E240C"/>
    <w:rsid w:val="008E3F99"/>
    <w:rsid w:val="008E6FCE"/>
    <w:rsid w:val="008F11B2"/>
    <w:rsid w:val="008F17F3"/>
    <w:rsid w:val="008F19BD"/>
    <w:rsid w:val="008F38B3"/>
    <w:rsid w:val="008F390A"/>
    <w:rsid w:val="008F45AF"/>
    <w:rsid w:val="008F46D7"/>
    <w:rsid w:val="008F4FB4"/>
    <w:rsid w:val="008F5296"/>
    <w:rsid w:val="008F58C5"/>
    <w:rsid w:val="008F5E62"/>
    <w:rsid w:val="008F6D94"/>
    <w:rsid w:val="008F734F"/>
    <w:rsid w:val="00900382"/>
    <w:rsid w:val="00900BCA"/>
    <w:rsid w:val="00902761"/>
    <w:rsid w:val="00902E37"/>
    <w:rsid w:val="00903471"/>
    <w:rsid w:val="00903EBC"/>
    <w:rsid w:val="00904AD5"/>
    <w:rsid w:val="00904F1B"/>
    <w:rsid w:val="00904FD8"/>
    <w:rsid w:val="009058B6"/>
    <w:rsid w:val="00905C22"/>
    <w:rsid w:val="00905DBC"/>
    <w:rsid w:val="00905FB7"/>
    <w:rsid w:val="00906EED"/>
    <w:rsid w:val="009073C8"/>
    <w:rsid w:val="00907498"/>
    <w:rsid w:val="00907C57"/>
    <w:rsid w:val="00907C68"/>
    <w:rsid w:val="0091200C"/>
    <w:rsid w:val="009122F8"/>
    <w:rsid w:val="00912307"/>
    <w:rsid w:val="00912A73"/>
    <w:rsid w:val="009168AF"/>
    <w:rsid w:val="00917C26"/>
    <w:rsid w:val="009200D9"/>
    <w:rsid w:val="009200F7"/>
    <w:rsid w:val="00922230"/>
    <w:rsid w:val="00923B0A"/>
    <w:rsid w:val="00923D03"/>
    <w:rsid w:val="0092458E"/>
    <w:rsid w:val="00925C39"/>
    <w:rsid w:val="00931F18"/>
    <w:rsid w:val="00932283"/>
    <w:rsid w:val="00933444"/>
    <w:rsid w:val="009344F9"/>
    <w:rsid w:val="009353A4"/>
    <w:rsid w:val="0093548B"/>
    <w:rsid w:val="00935B8C"/>
    <w:rsid w:val="00935DAE"/>
    <w:rsid w:val="00936016"/>
    <w:rsid w:val="0093626E"/>
    <w:rsid w:val="0093649E"/>
    <w:rsid w:val="00936C36"/>
    <w:rsid w:val="00937541"/>
    <w:rsid w:val="009400C8"/>
    <w:rsid w:val="00940992"/>
    <w:rsid w:val="00940DD4"/>
    <w:rsid w:val="00941DFE"/>
    <w:rsid w:val="00942476"/>
    <w:rsid w:val="0094348A"/>
    <w:rsid w:val="00943F60"/>
    <w:rsid w:val="0094409A"/>
    <w:rsid w:val="009442C6"/>
    <w:rsid w:val="009442C8"/>
    <w:rsid w:val="0094451B"/>
    <w:rsid w:val="009447B3"/>
    <w:rsid w:val="00944E35"/>
    <w:rsid w:val="00946527"/>
    <w:rsid w:val="00946CEB"/>
    <w:rsid w:val="00946CFE"/>
    <w:rsid w:val="00947D24"/>
    <w:rsid w:val="00952A98"/>
    <w:rsid w:val="009537BF"/>
    <w:rsid w:val="00954CDB"/>
    <w:rsid w:val="00954DFD"/>
    <w:rsid w:val="0095589A"/>
    <w:rsid w:val="00955C32"/>
    <w:rsid w:val="00955C54"/>
    <w:rsid w:val="00956082"/>
    <w:rsid w:val="00957124"/>
    <w:rsid w:val="00960B93"/>
    <w:rsid w:val="00960DB6"/>
    <w:rsid w:val="00960F49"/>
    <w:rsid w:val="009628BC"/>
    <w:rsid w:val="00962B65"/>
    <w:rsid w:val="00963333"/>
    <w:rsid w:val="0096335F"/>
    <w:rsid w:val="0096415E"/>
    <w:rsid w:val="009648C8"/>
    <w:rsid w:val="00964E70"/>
    <w:rsid w:val="00966160"/>
    <w:rsid w:val="00966757"/>
    <w:rsid w:val="00966C43"/>
    <w:rsid w:val="009674A7"/>
    <w:rsid w:val="009675F1"/>
    <w:rsid w:val="00970008"/>
    <w:rsid w:val="0097146A"/>
    <w:rsid w:val="00971E0B"/>
    <w:rsid w:val="00972D4C"/>
    <w:rsid w:val="009744E3"/>
    <w:rsid w:val="00976FF3"/>
    <w:rsid w:val="00977914"/>
    <w:rsid w:val="0098029A"/>
    <w:rsid w:val="0098037F"/>
    <w:rsid w:val="009811F7"/>
    <w:rsid w:val="00982CF6"/>
    <w:rsid w:val="00983422"/>
    <w:rsid w:val="0098430F"/>
    <w:rsid w:val="00984310"/>
    <w:rsid w:val="0098455A"/>
    <w:rsid w:val="00984CFF"/>
    <w:rsid w:val="00985148"/>
    <w:rsid w:val="009854AF"/>
    <w:rsid w:val="009860D7"/>
    <w:rsid w:val="0098713F"/>
    <w:rsid w:val="009914B0"/>
    <w:rsid w:val="00991771"/>
    <w:rsid w:val="009918C8"/>
    <w:rsid w:val="009922D1"/>
    <w:rsid w:val="00992E3C"/>
    <w:rsid w:val="00992EAC"/>
    <w:rsid w:val="009945FE"/>
    <w:rsid w:val="00994D25"/>
    <w:rsid w:val="009956D3"/>
    <w:rsid w:val="00995928"/>
    <w:rsid w:val="00995F91"/>
    <w:rsid w:val="00996496"/>
    <w:rsid w:val="0099741E"/>
    <w:rsid w:val="009979FC"/>
    <w:rsid w:val="009A0258"/>
    <w:rsid w:val="009A129F"/>
    <w:rsid w:val="009A2467"/>
    <w:rsid w:val="009A2821"/>
    <w:rsid w:val="009A4A30"/>
    <w:rsid w:val="009A5A5B"/>
    <w:rsid w:val="009A6328"/>
    <w:rsid w:val="009A6A4B"/>
    <w:rsid w:val="009A7F36"/>
    <w:rsid w:val="009B32CD"/>
    <w:rsid w:val="009B35C9"/>
    <w:rsid w:val="009B3CCE"/>
    <w:rsid w:val="009B4515"/>
    <w:rsid w:val="009B5F72"/>
    <w:rsid w:val="009B5FA2"/>
    <w:rsid w:val="009B68B0"/>
    <w:rsid w:val="009B6D89"/>
    <w:rsid w:val="009B71D1"/>
    <w:rsid w:val="009B7326"/>
    <w:rsid w:val="009B78E4"/>
    <w:rsid w:val="009B7E9E"/>
    <w:rsid w:val="009C001F"/>
    <w:rsid w:val="009C0E8C"/>
    <w:rsid w:val="009C34D1"/>
    <w:rsid w:val="009C3FA0"/>
    <w:rsid w:val="009C5EC3"/>
    <w:rsid w:val="009C6873"/>
    <w:rsid w:val="009C7D14"/>
    <w:rsid w:val="009D0C5F"/>
    <w:rsid w:val="009D1D81"/>
    <w:rsid w:val="009D2644"/>
    <w:rsid w:val="009D2D33"/>
    <w:rsid w:val="009D2F59"/>
    <w:rsid w:val="009D3FBE"/>
    <w:rsid w:val="009D48BD"/>
    <w:rsid w:val="009D54D4"/>
    <w:rsid w:val="009D5960"/>
    <w:rsid w:val="009D5C0F"/>
    <w:rsid w:val="009D69C1"/>
    <w:rsid w:val="009D6AFE"/>
    <w:rsid w:val="009D72F6"/>
    <w:rsid w:val="009D73EC"/>
    <w:rsid w:val="009E100B"/>
    <w:rsid w:val="009E1B5E"/>
    <w:rsid w:val="009E60EF"/>
    <w:rsid w:val="009E61A3"/>
    <w:rsid w:val="009E7946"/>
    <w:rsid w:val="009E7D14"/>
    <w:rsid w:val="009F0414"/>
    <w:rsid w:val="009F0A2A"/>
    <w:rsid w:val="009F12CB"/>
    <w:rsid w:val="009F4650"/>
    <w:rsid w:val="009F5C3C"/>
    <w:rsid w:val="009F7BDB"/>
    <w:rsid w:val="00A00180"/>
    <w:rsid w:val="00A0030D"/>
    <w:rsid w:val="00A003D4"/>
    <w:rsid w:val="00A00FE1"/>
    <w:rsid w:val="00A01C2F"/>
    <w:rsid w:val="00A021D8"/>
    <w:rsid w:val="00A02FE3"/>
    <w:rsid w:val="00A03721"/>
    <w:rsid w:val="00A04374"/>
    <w:rsid w:val="00A0523F"/>
    <w:rsid w:val="00A065A1"/>
    <w:rsid w:val="00A07320"/>
    <w:rsid w:val="00A07903"/>
    <w:rsid w:val="00A10A4C"/>
    <w:rsid w:val="00A111C2"/>
    <w:rsid w:val="00A11516"/>
    <w:rsid w:val="00A125E2"/>
    <w:rsid w:val="00A13350"/>
    <w:rsid w:val="00A14A87"/>
    <w:rsid w:val="00A14B0F"/>
    <w:rsid w:val="00A16174"/>
    <w:rsid w:val="00A20A9B"/>
    <w:rsid w:val="00A20D21"/>
    <w:rsid w:val="00A20E9A"/>
    <w:rsid w:val="00A21FBE"/>
    <w:rsid w:val="00A222CD"/>
    <w:rsid w:val="00A22A2D"/>
    <w:rsid w:val="00A24150"/>
    <w:rsid w:val="00A243D2"/>
    <w:rsid w:val="00A24516"/>
    <w:rsid w:val="00A247DC"/>
    <w:rsid w:val="00A24944"/>
    <w:rsid w:val="00A24B2D"/>
    <w:rsid w:val="00A25792"/>
    <w:rsid w:val="00A26524"/>
    <w:rsid w:val="00A26891"/>
    <w:rsid w:val="00A272E7"/>
    <w:rsid w:val="00A27A6C"/>
    <w:rsid w:val="00A307B3"/>
    <w:rsid w:val="00A31798"/>
    <w:rsid w:val="00A3213D"/>
    <w:rsid w:val="00A32C3D"/>
    <w:rsid w:val="00A32D3C"/>
    <w:rsid w:val="00A33819"/>
    <w:rsid w:val="00A33A78"/>
    <w:rsid w:val="00A33C8E"/>
    <w:rsid w:val="00A35DD0"/>
    <w:rsid w:val="00A35E7C"/>
    <w:rsid w:val="00A365A3"/>
    <w:rsid w:val="00A37DFC"/>
    <w:rsid w:val="00A4009B"/>
    <w:rsid w:val="00A40B5B"/>
    <w:rsid w:val="00A417A5"/>
    <w:rsid w:val="00A418EA"/>
    <w:rsid w:val="00A41FE9"/>
    <w:rsid w:val="00A4200D"/>
    <w:rsid w:val="00A42B98"/>
    <w:rsid w:val="00A42CC8"/>
    <w:rsid w:val="00A42E97"/>
    <w:rsid w:val="00A42EFD"/>
    <w:rsid w:val="00A432A3"/>
    <w:rsid w:val="00A44F95"/>
    <w:rsid w:val="00A45AF7"/>
    <w:rsid w:val="00A45B13"/>
    <w:rsid w:val="00A45EDB"/>
    <w:rsid w:val="00A45EF8"/>
    <w:rsid w:val="00A463ED"/>
    <w:rsid w:val="00A46D07"/>
    <w:rsid w:val="00A479F2"/>
    <w:rsid w:val="00A47C35"/>
    <w:rsid w:val="00A51CFC"/>
    <w:rsid w:val="00A51D9D"/>
    <w:rsid w:val="00A51EB4"/>
    <w:rsid w:val="00A522CC"/>
    <w:rsid w:val="00A53819"/>
    <w:rsid w:val="00A53E50"/>
    <w:rsid w:val="00A564A1"/>
    <w:rsid w:val="00A56E00"/>
    <w:rsid w:val="00A57277"/>
    <w:rsid w:val="00A6029B"/>
    <w:rsid w:val="00A612BB"/>
    <w:rsid w:val="00A61672"/>
    <w:rsid w:val="00A63357"/>
    <w:rsid w:val="00A633EE"/>
    <w:rsid w:val="00A63417"/>
    <w:rsid w:val="00A6388E"/>
    <w:rsid w:val="00A63E01"/>
    <w:rsid w:val="00A6568C"/>
    <w:rsid w:val="00A65AD8"/>
    <w:rsid w:val="00A660CC"/>
    <w:rsid w:val="00A66382"/>
    <w:rsid w:val="00A678E0"/>
    <w:rsid w:val="00A67996"/>
    <w:rsid w:val="00A706AE"/>
    <w:rsid w:val="00A70FD6"/>
    <w:rsid w:val="00A7130F"/>
    <w:rsid w:val="00A71ECB"/>
    <w:rsid w:val="00A72383"/>
    <w:rsid w:val="00A7274C"/>
    <w:rsid w:val="00A734E2"/>
    <w:rsid w:val="00A75881"/>
    <w:rsid w:val="00A7609F"/>
    <w:rsid w:val="00A77409"/>
    <w:rsid w:val="00A77B89"/>
    <w:rsid w:val="00A77DAF"/>
    <w:rsid w:val="00A803D9"/>
    <w:rsid w:val="00A8075D"/>
    <w:rsid w:val="00A809FD"/>
    <w:rsid w:val="00A81CFC"/>
    <w:rsid w:val="00A82213"/>
    <w:rsid w:val="00A85D64"/>
    <w:rsid w:val="00A86931"/>
    <w:rsid w:val="00A87909"/>
    <w:rsid w:val="00A90BC9"/>
    <w:rsid w:val="00A9176D"/>
    <w:rsid w:val="00A91997"/>
    <w:rsid w:val="00A92B95"/>
    <w:rsid w:val="00A92E55"/>
    <w:rsid w:val="00A93871"/>
    <w:rsid w:val="00A93CC5"/>
    <w:rsid w:val="00A942C6"/>
    <w:rsid w:val="00A9443D"/>
    <w:rsid w:val="00A95790"/>
    <w:rsid w:val="00A95E6B"/>
    <w:rsid w:val="00A96F7F"/>
    <w:rsid w:val="00A970A7"/>
    <w:rsid w:val="00AA05BE"/>
    <w:rsid w:val="00AA075A"/>
    <w:rsid w:val="00AA2AA9"/>
    <w:rsid w:val="00AA2D1D"/>
    <w:rsid w:val="00AA35E6"/>
    <w:rsid w:val="00AA3D0D"/>
    <w:rsid w:val="00AA428D"/>
    <w:rsid w:val="00AA43DE"/>
    <w:rsid w:val="00AA49A1"/>
    <w:rsid w:val="00AA57BA"/>
    <w:rsid w:val="00AA7821"/>
    <w:rsid w:val="00AB0790"/>
    <w:rsid w:val="00AB0CA6"/>
    <w:rsid w:val="00AB2151"/>
    <w:rsid w:val="00AB445A"/>
    <w:rsid w:val="00AB451B"/>
    <w:rsid w:val="00AB4F72"/>
    <w:rsid w:val="00AB5059"/>
    <w:rsid w:val="00AB5842"/>
    <w:rsid w:val="00AB70C8"/>
    <w:rsid w:val="00AB744D"/>
    <w:rsid w:val="00AB77B9"/>
    <w:rsid w:val="00AB7FC6"/>
    <w:rsid w:val="00AC2E0B"/>
    <w:rsid w:val="00AC303E"/>
    <w:rsid w:val="00AC3880"/>
    <w:rsid w:val="00AC391A"/>
    <w:rsid w:val="00AC3B0F"/>
    <w:rsid w:val="00AC5479"/>
    <w:rsid w:val="00AC54DF"/>
    <w:rsid w:val="00AC60BB"/>
    <w:rsid w:val="00AC6887"/>
    <w:rsid w:val="00AC7553"/>
    <w:rsid w:val="00AD0AEF"/>
    <w:rsid w:val="00AD10BB"/>
    <w:rsid w:val="00AD1A5A"/>
    <w:rsid w:val="00AD1B5C"/>
    <w:rsid w:val="00AD336E"/>
    <w:rsid w:val="00AD7440"/>
    <w:rsid w:val="00AE0367"/>
    <w:rsid w:val="00AE03A2"/>
    <w:rsid w:val="00AE0573"/>
    <w:rsid w:val="00AE0EDC"/>
    <w:rsid w:val="00AE1077"/>
    <w:rsid w:val="00AE2AF7"/>
    <w:rsid w:val="00AE3C9F"/>
    <w:rsid w:val="00AE42A1"/>
    <w:rsid w:val="00AE474D"/>
    <w:rsid w:val="00AE60DE"/>
    <w:rsid w:val="00AE60E3"/>
    <w:rsid w:val="00AE6C96"/>
    <w:rsid w:val="00AE6EEC"/>
    <w:rsid w:val="00AE719F"/>
    <w:rsid w:val="00AE73EB"/>
    <w:rsid w:val="00AE799C"/>
    <w:rsid w:val="00AE7E41"/>
    <w:rsid w:val="00AF033A"/>
    <w:rsid w:val="00AF07F7"/>
    <w:rsid w:val="00AF0E02"/>
    <w:rsid w:val="00AF1A6D"/>
    <w:rsid w:val="00AF1F16"/>
    <w:rsid w:val="00AF248F"/>
    <w:rsid w:val="00AF2BE4"/>
    <w:rsid w:val="00AF2ECF"/>
    <w:rsid w:val="00AF380B"/>
    <w:rsid w:val="00AF38AD"/>
    <w:rsid w:val="00AF4650"/>
    <w:rsid w:val="00AF4D44"/>
    <w:rsid w:val="00AF579D"/>
    <w:rsid w:val="00AF5965"/>
    <w:rsid w:val="00AF5D42"/>
    <w:rsid w:val="00AF787C"/>
    <w:rsid w:val="00B00154"/>
    <w:rsid w:val="00B010A3"/>
    <w:rsid w:val="00B0329A"/>
    <w:rsid w:val="00B03CAB"/>
    <w:rsid w:val="00B04704"/>
    <w:rsid w:val="00B04965"/>
    <w:rsid w:val="00B05809"/>
    <w:rsid w:val="00B05CAC"/>
    <w:rsid w:val="00B06A60"/>
    <w:rsid w:val="00B10319"/>
    <w:rsid w:val="00B117A1"/>
    <w:rsid w:val="00B1191A"/>
    <w:rsid w:val="00B12FF7"/>
    <w:rsid w:val="00B14A89"/>
    <w:rsid w:val="00B14E7F"/>
    <w:rsid w:val="00B15011"/>
    <w:rsid w:val="00B15963"/>
    <w:rsid w:val="00B16D02"/>
    <w:rsid w:val="00B17CE6"/>
    <w:rsid w:val="00B2084C"/>
    <w:rsid w:val="00B20D01"/>
    <w:rsid w:val="00B211FC"/>
    <w:rsid w:val="00B21AAB"/>
    <w:rsid w:val="00B2220D"/>
    <w:rsid w:val="00B22820"/>
    <w:rsid w:val="00B240EC"/>
    <w:rsid w:val="00B2529C"/>
    <w:rsid w:val="00B254A1"/>
    <w:rsid w:val="00B27D77"/>
    <w:rsid w:val="00B30501"/>
    <w:rsid w:val="00B30911"/>
    <w:rsid w:val="00B3095A"/>
    <w:rsid w:val="00B30B07"/>
    <w:rsid w:val="00B32433"/>
    <w:rsid w:val="00B333B8"/>
    <w:rsid w:val="00B336E5"/>
    <w:rsid w:val="00B34A44"/>
    <w:rsid w:val="00B355A2"/>
    <w:rsid w:val="00B35C91"/>
    <w:rsid w:val="00B35D0C"/>
    <w:rsid w:val="00B36062"/>
    <w:rsid w:val="00B36269"/>
    <w:rsid w:val="00B36704"/>
    <w:rsid w:val="00B373F4"/>
    <w:rsid w:val="00B37446"/>
    <w:rsid w:val="00B37C7A"/>
    <w:rsid w:val="00B40388"/>
    <w:rsid w:val="00B4152F"/>
    <w:rsid w:val="00B41630"/>
    <w:rsid w:val="00B41C25"/>
    <w:rsid w:val="00B41E43"/>
    <w:rsid w:val="00B42818"/>
    <w:rsid w:val="00B42BB6"/>
    <w:rsid w:val="00B42CDD"/>
    <w:rsid w:val="00B4596A"/>
    <w:rsid w:val="00B4599B"/>
    <w:rsid w:val="00B45A08"/>
    <w:rsid w:val="00B45B09"/>
    <w:rsid w:val="00B5013B"/>
    <w:rsid w:val="00B522BB"/>
    <w:rsid w:val="00B558F4"/>
    <w:rsid w:val="00B55A87"/>
    <w:rsid w:val="00B56886"/>
    <w:rsid w:val="00B56B68"/>
    <w:rsid w:val="00B56CF3"/>
    <w:rsid w:val="00B573E4"/>
    <w:rsid w:val="00B5785F"/>
    <w:rsid w:val="00B60145"/>
    <w:rsid w:val="00B603CB"/>
    <w:rsid w:val="00B607CC"/>
    <w:rsid w:val="00B61E68"/>
    <w:rsid w:val="00B635AE"/>
    <w:rsid w:val="00B6387D"/>
    <w:rsid w:val="00B63AE2"/>
    <w:rsid w:val="00B6423D"/>
    <w:rsid w:val="00B653AB"/>
    <w:rsid w:val="00B65E3F"/>
    <w:rsid w:val="00B66425"/>
    <w:rsid w:val="00B6659D"/>
    <w:rsid w:val="00B66A42"/>
    <w:rsid w:val="00B67B20"/>
    <w:rsid w:val="00B67BAF"/>
    <w:rsid w:val="00B708D2"/>
    <w:rsid w:val="00B71125"/>
    <w:rsid w:val="00B72A01"/>
    <w:rsid w:val="00B73254"/>
    <w:rsid w:val="00B7391D"/>
    <w:rsid w:val="00B74009"/>
    <w:rsid w:val="00B7473A"/>
    <w:rsid w:val="00B75A83"/>
    <w:rsid w:val="00B76AAF"/>
    <w:rsid w:val="00B772FC"/>
    <w:rsid w:val="00B801C6"/>
    <w:rsid w:val="00B806EB"/>
    <w:rsid w:val="00B8255C"/>
    <w:rsid w:val="00B82B85"/>
    <w:rsid w:val="00B8470E"/>
    <w:rsid w:val="00B84973"/>
    <w:rsid w:val="00B8596A"/>
    <w:rsid w:val="00B86C0A"/>
    <w:rsid w:val="00B874EB"/>
    <w:rsid w:val="00B87F1C"/>
    <w:rsid w:val="00B9205F"/>
    <w:rsid w:val="00B94B7C"/>
    <w:rsid w:val="00B94DF1"/>
    <w:rsid w:val="00B97792"/>
    <w:rsid w:val="00BA0823"/>
    <w:rsid w:val="00BA14B8"/>
    <w:rsid w:val="00BA16DA"/>
    <w:rsid w:val="00BA204F"/>
    <w:rsid w:val="00BA3F64"/>
    <w:rsid w:val="00BA5FE1"/>
    <w:rsid w:val="00BA7FC1"/>
    <w:rsid w:val="00BB102E"/>
    <w:rsid w:val="00BB1997"/>
    <w:rsid w:val="00BB1E60"/>
    <w:rsid w:val="00BB1F6C"/>
    <w:rsid w:val="00BB20A3"/>
    <w:rsid w:val="00BB27E8"/>
    <w:rsid w:val="00BB4CCF"/>
    <w:rsid w:val="00BB73E8"/>
    <w:rsid w:val="00BB7420"/>
    <w:rsid w:val="00BC0C24"/>
    <w:rsid w:val="00BC137D"/>
    <w:rsid w:val="00BC1537"/>
    <w:rsid w:val="00BC1A9A"/>
    <w:rsid w:val="00BC3959"/>
    <w:rsid w:val="00BC4060"/>
    <w:rsid w:val="00BC4206"/>
    <w:rsid w:val="00BD0757"/>
    <w:rsid w:val="00BD18B2"/>
    <w:rsid w:val="00BD22B9"/>
    <w:rsid w:val="00BD2C9F"/>
    <w:rsid w:val="00BD3595"/>
    <w:rsid w:val="00BD509B"/>
    <w:rsid w:val="00BE01E6"/>
    <w:rsid w:val="00BE06DA"/>
    <w:rsid w:val="00BE07B6"/>
    <w:rsid w:val="00BE11AB"/>
    <w:rsid w:val="00BE5D59"/>
    <w:rsid w:val="00BF248C"/>
    <w:rsid w:val="00BF27A2"/>
    <w:rsid w:val="00BF2843"/>
    <w:rsid w:val="00BF29CC"/>
    <w:rsid w:val="00BF30C7"/>
    <w:rsid w:val="00BF464E"/>
    <w:rsid w:val="00BF4E47"/>
    <w:rsid w:val="00BF5129"/>
    <w:rsid w:val="00BF59D8"/>
    <w:rsid w:val="00BF5C1C"/>
    <w:rsid w:val="00BF7AC6"/>
    <w:rsid w:val="00C00CAB"/>
    <w:rsid w:val="00C01573"/>
    <w:rsid w:val="00C01C0F"/>
    <w:rsid w:val="00C01FB8"/>
    <w:rsid w:val="00C02204"/>
    <w:rsid w:val="00C026E8"/>
    <w:rsid w:val="00C02CB5"/>
    <w:rsid w:val="00C02D37"/>
    <w:rsid w:val="00C03B13"/>
    <w:rsid w:val="00C052F6"/>
    <w:rsid w:val="00C05713"/>
    <w:rsid w:val="00C06400"/>
    <w:rsid w:val="00C06830"/>
    <w:rsid w:val="00C070B7"/>
    <w:rsid w:val="00C07959"/>
    <w:rsid w:val="00C10F84"/>
    <w:rsid w:val="00C11010"/>
    <w:rsid w:val="00C11707"/>
    <w:rsid w:val="00C1327D"/>
    <w:rsid w:val="00C13597"/>
    <w:rsid w:val="00C13A36"/>
    <w:rsid w:val="00C14046"/>
    <w:rsid w:val="00C14896"/>
    <w:rsid w:val="00C14C01"/>
    <w:rsid w:val="00C15719"/>
    <w:rsid w:val="00C15CBD"/>
    <w:rsid w:val="00C17290"/>
    <w:rsid w:val="00C1786F"/>
    <w:rsid w:val="00C20279"/>
    <w:rsid w:val="00C2084F"/>
    <w:rsid w:val="00C20BED"/>
    <w:rsid w:val="00C2108A"/>
    <w:rsid w:val="00C21730"/>
    <w:rsid w:val="00C23ED5"/>
    <w:rsid w:val="00C242F4"/>
    <w:rsid w:val="00C248A4"/>
    <w:rsid w:val="00C25A90"/>
    <w:rsid w:val="00C26CEE"/>
    <w:rsid w:val="00C270D8"/>
    <w:rsid w:val="00C27895"/>
    <w:rsid w:val="00C30322"/>
    <w:rsid w:val="00C30409"/>
    <w:rsid w:val="00C3065F"/>
    <w:rsid w:val="00C30981"/>
    <w:rsid w:val="00C30A6A"/>
    <w:rsid w:val="00C3112D"/>
    <w:rsid w:val="00C31E42"/>
    <w:rsid w:val="00C32ABA"/>
    <w:rsid w:val="00C32BDA"/>
    <w:rsid w:val="00C331AE"/>
    <w:rsid w:val="00C340DE"/>
    <w:rsid w:val="00C34FB7"/>
    <w:rsid w:val="00C35491"/>
    <w:rsid w:val="00C3587A"/>
    <w:rsid w:val="00C361A6"/>
    <w:rsid w:val="00C3658C"/>
    <w:rsid w:val="00C40D56"/>
    <w:rsid w:val="00C40EF5"/>
    <w:rsid w:val="00C410CF"/>
    <w:rsid w:val="00C41934"/>
    <w:rsid w:val="00C41B03"/>
    <w:rsid w:val="00C42483"/>
    <w:rsid w:val="00C433A6"/>
    <w:rsid w:val="00C43B4D"/>
    <w:rsid w:val="00C44010"/>
    <w:rsid w:val="00C452B2"/>
    <w:rsid w:val="00C46825"/>
    <w:rsid w:val="00C46D44"/>
    <w:rsid w:val="00C47E46"/>
    <w:rsid w:val="00C50009"/>
    <w:rsid w:val="00C5093C"/>
    <w:rsid w:val="00C50A01"/>
    <w:rsid w:val="00C51206"/>
    <w:rsid w:val="00C51681"/>
    <w:rsid w:val="00C51B39"/>
    <w:rsid w:val="00C520AA"/>
    <w:rsid w:val="00C52D79"/>
    <w:rsid w:val="00C533A6"/>
    <w:rsid w:val="00C53785"/>
    <w:rsid w:val="00C5395A"/>
    <w:rsid w:val="00C5742B"/>
    <w:rsid w:val="00C577EE"/>
    <w:rsid w:val="00C6048A"/>
    <w:rsid w:val="00C63417"/>
    <w:rsid w:val="00C63689"/>
    <w:rsid w:val="00C65D13"/>
    <w:rsid w:val="00C70120"/>
    <w:rsid w:val="00C70EE0"/>
    <w:rsid w:val="00C71BAF"/>
    <w:rsid w:val="00C726C0"/>
    <w:rsid w:val="00C7274D"/>
    <w:rsid w:val="00C7297A"/>
    <w:rsid w:val="00C7318B"/>
    <w:rsid w:val="00C73D0A"/>
    <w:rsid w:val="00C74132"/>
    <w:rsid w:val="00C74385"/>
    <w:rsid w:val="00C743F6"/>
    <w:rsid w:val="00C7453C"/>
    <w:rsid w:val="00C7555B"/>
    <w:rsid w:val="00C757E8"/>
    <w:rsid w:val="00C7580C"/>
    <w:rsid w:val="00C7789A"/>
    <w:rsid w:val="00C8010B"/>
    <w:rsid w:val="00C81029"/>
    <w:rsid w:val="00C83945"/>
    <w:rsid w:val="00C854E8"/>
    <w:rsid w:val="00C86DBB"/>
    <w:rsid w:val="00C87488"/>
    <w:rsid w:val="00C87831"/>
    <w:rsid w:val="00C8791E"/>
    <w:rsid w:val="00C9000A"/>
    <w:rsid w:val="00C96BE3"/>
    <w:rsid w:val="00C9714F"/>
    <w:rsid w:val="00C97B53"/>
    <w:rsid w:val="00CA01CD"/>
    <w:rsid w:val="00CA0695"/>
    <w:rsid w:val="00CA10EC"/>
    <w:rsid w:val="00CA30EA"/>
    <w:rsid w:val="00CA458B"/>
    <w:rsid w:val="00CA4EF1"/>
    <w:rsid w:val="00CA59EB"/>
    <w:rsid w:val="00CA5AA7"/>
    <w:rsid w:val="00CA7EBF"/>
    <w:rsid w:val="00CB0277"/>
    <w:rsid w:val="00CB20A1"/>
    <w:rsid w:val="00CB20F4"/>
    <w:rsid w:val="00CB29F1"/>
    <w:rsid w:val="00CB2D86"/>
    <w:rsid w:val="00CB582B"/>
    <w:rsid w:val="00CB5945"/>
    <w:rsid w:val="00CB6AB4"/>
    <w:rsid w:val="00CC0DCB"/>
    <w:rsid w:val="00CC0F2A"/>
    <w:rsid w:val="00CC193B"/>
    <w:rsid w:val="00CC2905"/>
    <w:rsid w:val="00CC4B0C"/>
    <w:rsid w:val="00CC4C01"/>
    <w:rsid w:val="00CC512B"/>
    <w:rsid w:val="00CC6128"/>
    <w:rsid w:val="00CC6CEE"/>
    <w:rsid w:val="00CC72B1"/>
    <w:rsid w:val="00CC7650"/>
    <w:rsid w:val="00CC7711"/>
    <w:rsid w:val="00CD020D"/>
    <w:rsid w:val="00CD0294"/>
    <w:rsid w:val="00CD07DF"/>
    <w:rsid w:val="00CD1401"/>
    <w:rsid w:val="00CD1A30"/>
    <w:rsid w:val="00CD1ACC"/>
    <w:rsid w:val="00CD1D72"/>
    <w:rsid w:val="00CD21A4"/>
    <w:rsid w:val="00CD3010"/>
    <w:rsid w:val="00CD34EF"/>
    <w:rsid w:val="00CD45AA"/>
    <w:rsid w:val="00CD514C"/>
    <w:rsid w:val="00CD5B86"/>
    <w:rsid w:val="00CD5F6C"/>
    <w:rsid w:val="00CD6618"/>
    <w:rsid w:val="00CD6831"/>
    <w:rsid w:val="00CD76FB"/>
    <w:rsid w:val="00CE07DD"/>
    <w:rsid w:val="00CE2905"/>
    <w:rsid w:val="00CE3AFF"/>
    <w:rsid w:val="00CE3FEA"/>
    <w:rsid w:val="00CE4A11"/>
    <w:rsid w:val="00CE4B6D"/>
    <w:rsid w:val="00CE5787"/>
    <w:rsid w:val="00CE62C7"/>
    <w:rsid w:val="00CE6957"/>
    <w:rsid w:val="00CE79AF"/>
    <w:rsid w:val="00CF00D3"/>
    <w:rsid w:val="00CF0B12"/>
    <w:rsid w:val="00CF151A"/>
    <w:rsid w:val="00CF1E69"/>
    <w:rsid w:val="00CF22A8"/>
    <w:rsid w:val="00CF28AF"/>
    <w:rsid w:val="00CF3149"/>
    <w:rsid w:val="00CF54B6"/>
    <w:rsid w:val="00CF63A0"/>
    <w:rsid w:val="00CF7510"/>
    <w:rsid w:val="00D00A79"/>
    <w:rsid w:val="00D02E2C"/>
    <w:rsid w:val="00D03E22"/>
    <w:rsid w:val="00D05110"/>
    <w:rsid w:val="00D05317"/>
    <w:rsid w:val="00D05881"/>
    <w:rsid w:val="00D05FF7"/>
    <w:rsid w:val="00D0695A"/>
    <w:rsid w:val="00D06CF4"/>
    <w:rsid w:val="00D07845"/>
    <w:rsid w:val="00D1009B"/>
    <w:rsid w:val="00D10207"/>
    <w:rsid w:val="00D11A8D"/>
    <w:rsid w:val="00D12608"/>
    <w:rsid w:val="00D1280E"/>
    <w:rsid w:val="00D1353D"/>
    <w:rsid w:val="00D13FDE"/>
    <w:rsid w:val="00D1581A"/>
    <w:rsid w:val="00D1637D"/>
    <w:rsid w:val="00D172E2"/>
    <w:rsid w:val="00D1786F"/>
    <w:rsid w:val="00D20324"/>
    <w:rsid w:val="00D2100A"/>
    <w:rsid w:val="00D21622"/>
    <w:rsid w:val="00D22FFD"/>
    <w:rsid w:val="00D231E9"/>
    <w:rsid w:val="00D23611"/>
    <w:rsid w:val="00D23925"/>
    <w:rsid w:val="00D23D49"/>
    <w:rsid w:val="00D247F2"/>
    <w:rsid w:val="00D24B59"/>
    <w:rsid w:val="00D25251"/>
    <w:rsid w:val="00D27981"/>
    <w:rsid w:val="00D3039A"/>
    <w:rsid w:val="00D30590"/>
    <w:rsid w:val="00D30CE3"/>
    <w:rsid w:val="00D30DCE"/>
    <w:rsid w:val="00D30DCF"/>
    <w:rsid w:val="00D31143"/>
    <w:rsid w:val="00D32AAE"/>
    <w:rsid w:val="00D32AF3"/>
    <w:rsid w:val="00D3322D"/>
    <w:rsid w:val="00D3336C"/>
    <w:rsid w:val="00D333FD"/>
    <w:rsid w:val="00D33FCB"/>
    <w:rsid w:val="00D34184"/>
    <w:rsid w:val="00D348DB"/>
    <w:rsid w:val="00D364D0"/>
    <w:rsid w:val="00D3768E"/>
    <w:rsid w:val="00D4001F"/>
    <w:rsid w:val="00D40F41"/>
    <w:rsid w:val="00D416E4"/>
    <w:rsid w:val="00D41BB3"/>
    <w:rsid w:val="00D435A6"/>
    <w:rsid w:val="00D458E8"/>
    <w:rsid w:val="00D4670C"/>
    <w:rsid w:val="00D46E1E"/>
    <w:rsid w:val="00D471E2"/>
    <w:rsid w:val="00D479C3"/>
    <w:rsid w:val="00D505F1"/>
    <w:rsid w:val="00D51CDB"/>
    <w:rsid w:val="00D51D79"/>
    <w:rsid w:val="00D52224"/>
    <w:rsid w:val="00D52432"/>
    <w:rsid w:val="00D55304"/>
    <w:rsid w:val="00D55AA4"/>
    <w:rsid w:val="00D55B34"/>
    <w:rsid w:val="00D56A5C"/>
    <w:rsid w:val="00D6033E"/>
    <w:rsid w:val="00D6283A"/>
    <w:rsid w:val="00D63FD2"/>
    <w:rsid w:val="00D6404F"/>
    <w:rsid w:val="00D65592"/>
    <w:rsid w:val="00D6757E"/>
    <w:rsid w:val="00D70A45"/>
    <w:rsid w:val="00D7181B"/>
    <w:rsid w:val="00D727FE"/>
    <w:rsid w:val="00D72FC7"/>
    <w:rsid w:val="00D74DE7"/>
    <w:rsid w:val="00D75929"/>
    <w:rsid w:val="00D80D0E"/>
    <w:rsid w:val="00D81871"/>
    <w:rsid w:val="00D81973"/>
    <w:rsid w:val="00D81A34"/>
    <w:rsid w:val="00D81B12"/>
    <w:rsid w:val="00D83CCA"/>
    <w:rsid w:val="00D83D06"/>
    <w:rsid w:val="00D84277"/>
    <w:rsid w:val="00D85DF3"/>
    <w:rsid w:val="00D87F49"/>
    <w:rsid w:val="00D90365"/>
    <w:rsid w:val="00D9047C"/>
    <w:rsid w:val="00D90748"/>
    <w:rsid w:val="00D91D7A"/>
    <w:rsid w:val="00D927B6"/>
    <w:rsid w:val="00D92818"/>
    <w:rsid w:val="00D9282C"/>
    <w:rsid w:val="00D92B34"/>
    <w:rsid w:val="00D92BAD"/>
    <w:rsid w:val="00D947E9"/>
    <w:rsid w:val="00D95EF4"/>
    <w:rsid w:val="00D96590"/>
    <w:rsid w:val="00D97E0C"/>
    <w:rsid w:val="00DA1B00"/>
    <w:rsid w:val="00DA288B"/>
    <w:rsid w:val="00DA2C01"/>
    <w:rsid w:val="00DA34C1"/>
    <w:rsid w:val="00DA377C"/>
    <w:rsid w:val="00DA3B53"/>
    <w:rsid w:val="00DA430D"/>
    <w:rsid w:val="00DA43C9"/>
    <w:rsid w:val="00DA4BEC"/>
    <w:rsid w:val="00DA4E2A"/>
    <w:rsid w:val="00DA53AF"/>
    <w:rsid w:val="00DA54FF"/>
    <w:rsid w:val="00DA5AFB"/>
    <w:rsid w:val="00DA6981"/>
    <w:rsid w:val="00DA7A8B"/>
    <w:rsid w:val="00DA7DD8"/>
    <w:rsid w:val="00DB0369"/>
    <w:rsid w:val="00DB07FF"/>
    <w:rsid w:val="00DB0F88"/>
    <w:rsid w:val="00DB41F1"/>
    <w:rsid w:val="00DB4724"/>
    <w:rsid w:val="00DB5D64"/>
    <w:rsid w:val="00DB6594"/>
    <w:rsid w:val="00DB77A4"/>
    <w:rsid w:val="00DC10E9"/>
    <w:rsid w:val="00DC28F0"/>
    <w:rsid w:val="00DC3687"/>
    <w:rsid w:val="00DC390B"/>
    <w:rsid w:val="00DC3BAD"/>
    <w:rsid w:val="00DC44DF"/>
    <w:rsid w:val="00DC5850"/>
    <w:rsid w:val="00DC7225"/>
    <w:rsid w:val="00DD1599"/>
    <w:rsid w:val="00DD19F7"/>
    <w:rsid w:val="00DD2312"/>
    <w:rsid w:val="00DD26C0"/>
    <w:rsid w:val="00DD2EF8"/>
    <w:rsid w:val="00DD40DA"/>
    <w:rsid w:val="00DD5DFC"/>
    <w:rsid w:val="00DD64C8"/>
    <w:rsid w:val="00DD68E3"/>
    <w:rsid w:val="00DD697B"/>
    <w:rsid w:val="00DE0ACC"/>
    <w:rsid w:val="00DE0F92"/>
    <w:rsid w:val="00DE1A31"/>
    <w:rsid w:val="00DE487B"/>
    <w:rsid w:val="00DE50D7"/>
    <w:rsid w:val="00DE6415"/>
    <w:rsid w:val="00DE65F7"/>
    <w:rsid w:val="00DE6A0E"/>
    <w:rsid w:val="00DE7A6A"/>
    <w:rsid w:val="00DF077D"/>
    <w:rsid w:val="00DF1916"/>
    <w:rsid w:val="00DF3E3C"/>
    <w:rsid w:val="00DF48EE"/>
    <w:rsid w:val="00DF48FB"/>
    <w:rsid w:val="00DF622F"/>
    <w:rsid w:val="00DF6310"/>
    <w:rsid w:val="00DF65C4"/>
    <w:rsid w:val="00DF6D23"/>
    <w:rsid w:val="00DF6FDD"/>
    <w:rsid w:val="00DF7340"/>
    <w:rsid w:val="00DF7B4C"/>
    <w:rsid w:val="00DF7EEF"/>
    <w:rsid w:val="00E00017"/>
    <w:rsid w:val="00E000F3"/>
    <w:rsid w:val="00E00987"/>
    <w:rsid w:val="00E00B2B"/>
    <w:rsid w:val="00E00B87"/>
    <w:rsid w:val="00E01314"/>
    <w:rsid w:val="00E01339"/>
    <w:rsid w:val="00E01F25"/>
    <w:rsid w:val="00E0255C"/>
    <w:rsid w:val="00E0279C"/>
    <w:rsid w:val="00E028D7"/>
    <w:rsid w:val="00E02963"/>
    <w:rsid w:val="00E02B5F"/>
    <w:rsid w:val="00E02ED6"/>
    <w:rsid w:val="00E0305E"/>
    <w:rsid w:val="00E03D83"/>
    <w:rsid w:val="00E03E65"/>
    <w:rsid w:val="00E04779"/>
    <w:rsid w:val="00E0535C"/>
    <w:rsid w:val="00E10947"/>
    <w:rsid w:val="00E111BE"/>
    <w:rsid w:val="00E122DC"/>
    <w:rsid w:val="00E14426"/>
    <w:rsid w:val="00E1467A"/>
    <w:rsid w:val="00E15710"/>
    <w:rsid w:val="00E16006"/>
    <w:rsid w:val="00E161CD"/>
    <w:rsid w:val="00E167E4"/>
    <w:rsid w:val="00E1696F"/>
    <w:rsid w:val="00E1738F"/>
    <w:rsid w:val="00E17B1E"/>
    <w:rsid w:val="00E2189C"/>
    <w:rsid w:val="00E24E87"/>
    <w:rsid w:val="00E24EC5"/>
    <w:rsid w:val="00E256B6"/>
    <w:rsid w:val="00E2616D"/>
    <w:rsid w:val="00E26293"/>
    <w:rsid w:val="00E2665F"/>
    <w:rsid w:val="00E2678B"/>
    <w:rsid w:val="00E30958"/>
    <w:rsid w:val="00E31109"/>
    <w:rsid w:val="00E331D9"/>
    <w:rsid w:val="00E34A68"/>
    <w:rsid w:val="00E35377"/>
    <w:rsid w:val="00E353D1"/>
    <w:rsid w:val="00E362A7"/>
    <w:rsid w:val="00E36A9E"/>
    <w:rsid w:val="00E36FDF"/>
    <w:rsid w:val="00E373C0"/>
    <w:rsid w:val="00E42665"/>
    <w:rsid w:val="00E4328B"/>
    <w:rsid w:val="00E4333D"/>
    <w:rsid w:val="00E43423"/>
    <w:rsid w:val="00E4393A"/>
    <w:rsid w:val="00E44399"/>
    <w:rsid w:val="00E46EFF"/>
    <w:rsid w:val="00E47458"/>
    <w:rsid w:val="00E47A7A"/>
    <w:rsid w:val="00E50188"/>
    <w:rsid w:val="00E5067F"/>
    <w:rsid w:val="00E50F90"/>
    <w:rsid w:val="00E523BA"/>
    <w:rsid w:val="00E52885"/>
    <w:rsid w:val="00E53FC7"/>
    <w:rsid w:val="00E5484F"/>
    <w:rsid w:val="00E559CD"/>
    <w:rsid w:val="00E562C2"/>
    <w:rsid w:val="00E56AFB"/>
    <w:rsid w:val="00E56D1C"/>
    <w:rsid w:val="00E56DC4"/>
    <w:rsid w:val="00E56EA5"/>
    <w:rsid w:val="00E56EE1"/>
    <w:rsid w:val="00E579F2"/>
    <w:rsid w:val="00E60E92"/>
    <w:rsid w:val="00E61AA7"/>
    <w:rsid w:val="00E6235B"/>
    <w:rsid w:val="00E62828"/>
    <w:rsid w:val="00E638FB"/>
    <w:rsid w:val="00E63D1B"/>
    <w:rsid w:val="00E63EFB"/>
    <w:rsid w:val="00E64C85"/>
    <w:rsid w:val="00E672E1"/>
    <w:rsid w:val="00E67922"/>
    <w:rsid w:val="00E70690"/>
    <w:rsid w:val="00E70AB6"/>
    <w:rsid w:val="00E71F58"/>
    <w:rsid w:val="00E726AE"/>
    <w:rsid w:val="00E728D8"/>
    <w:rsid w:val="00E740C2"/>
    <w:rsid w:val="00E7464D"/>
    <w:rsid w:val="00E763B2"/>
    <w:rsid w:val="00E768C5"/>
    <w:rsid w:val="00E77E9A"/>
    <w:rsid w:val="00E8065C"/>
    <w:rsid w:val="00E81D5A"/>
    <w:rsid w:val="00E83592"/>
    <w:rsid w:val="00E835C7"/>
    <w:rsid w:val="00E83B69"/>
    <w:rsid w:val="00E8485B"/>
    <w:rsid w:val="00E851AB"/>
    <w:rsid w:val="00E86207"/>
    <w:rsid w:val="00E86A71"/>
    <w:rsid w:val="00E86BFA"/>
    <w:rsid w:val="00E87198"/>
    <w:rsid w:val="00E91D76"/>
    <w:rsid w:val="00E9248A"/>
    <w:rsid w:val="00E92890"/>
    <w:rsid w:val="00E941C2"/>
    <w:rsid w:val="00E944B9"/>
    <w:rsid w:val="00E95139"/>
    <w:rsid w:val="00E952D0"/>
    <w:rsid w:val="00EA0876"/>
    <w:rsid w:val="00EA0AB4"/>
    <w:rsid w:val="00EA0BDC"/>
    <w:rsid w:val="00EA2CC4"/>
    <w:rsid w:val="00EA2D7F"/>
    <w:rsid w:val="00EA3BDA"/>
    <w:rsid w:val="00EA4A60"/>
    <w:rsid w:val="00EA505E"/>
    <w:rsid w:val="00EA5594"/>
    <w:rsid w:val="00EA5B89"/>
    <w:rsid w:val="00EA5BD7"/>
    <w:rsid w:val="00EA605B"/>
    <w:rsid w:val="00EA798D"/>
    <w:rsid w:val="00EA7996"/>
    <w:rsid w:val="00EA7BB5"/>
    <w:rsid w:val="00EB296F"/>
    <w:rsid w:val="00EB2EF5"/>
    <w:rsid w:val="00EB4609"/>
    <w:rsid w:val="00EB551E"/>
    <w:rsid w:val="00EB6671"/>
    <w:rsid w:val="00EB6C38"/>
    <w:rsid w:val="00EC019E"/>
    <w:rsid w:val="00EC0726"/>
    <w:rsid w:val="00EC083B"/>
    <w:rsid w:val="00EC248B"/>
    <w:rsid w:val="00EC24D5"/>
    <w:rsid w:val="00EC2BF4"/>
    <w:rsid w:val="00EC47F0"/>
    <w:rsid w:val="00ED01C8"/>
    <w:rsid w:val="00ED0AA9"/>
    <w:rsid w:val="00ED11E9"/>
    <w:rsid w:val="00ED2A0B"/>
    <w:rsid w:val="00ED3136"/>
    <w:rsid w:val="00ED3269"/>
    <w:rsid w:val="00ED3834"/>
    <w:rsid w:val="00ED5F3C"/>
    <w:rsid w:val="00ED6C5B"/>
    <w:rsid w:val="00ED707D"/>
    <w:rsid w:val="00ED7DED"/>
    <w:rsid w:val="00ED7E5F"/>
    <w:rsid w:val="00EE0B3A"/>
    <w:rsid w:val="00EE1E1E"/>
    <w:rsid w:val="00EE2325"/>
    <w:rsid w:val="00EE23CF"/>
    <w:rsid w:val="00EE30DA"/>
    <w:rsid w:val="00EE799F"/>
    <w:rsid w:val="00EE7B6B"/>
    <w:rsid w:val="00EE7CDC"/>
    <w:rsid w:val="00EF05E9"/>
    <w:rsid w:val="00EF05FC"/>
    <w:rsid w:val="00EF3A3C"/>
    <w:rsid w:val="00EF3E7E"/>
    <w:rsid w:val="00EF3EE3"/>
    <w:rsid w:val="00EF4E5C"/>
    <w:rsid w:val="00EF5034"/>
    <w:rsid w:val="00EF5947"/>
    <w:rsid w:val="00F00027"/>
    <w:rsid w:val="00F0014C"/>
    <w:rsid w:val="00F0058B"/>
    <w:rsid w:val="00F014DE"/>
    <w:rsid w:val="00F019F6"/>
    <w:rsid w:val="00F01D27"/>
    <w:rsid w:val="00F03789"/>
    <w:rsid w:val="00F0405B"/>
    <w:rsid w:val="00F040A5"/>
    <w:rsid w:val="00F04B6A"/>
    <w:rsid w:val="00F05125"/>
    <w:rsid w:val="00F055C7"/>
    <w:rsid w:val="00F05705"/>
    <w:rsid w:val="00F05C86"/>
    <w:rsid w:val="00F06872"/>
    <w:rsid w:val="00F10B72"/>
    <w:rsid w:val="00F10BB4"/>
    <w:rsid w:val="00F11DD2"/>
    <w:rsid w:val="00F136B2"/>
    <w:rsid w:val="00F13D66"/>
    <w:rsid w:val="00F13D81"/>
    <w:rsid w:val="00F15133"/>
    <w:rsid w:val="00F1696D"/>
    <w:rsid w:val="00F16A7F"/>
    <w:rsid w:val="00F17CBE"/>
    <w:rsid w:val="00F2014A"/>
    <w:rsid w:val="00F20AF3"/>
    <w:rsid w:val="00F20D7C"/>
    <w:rsid w:val="00F21006"/>
    <w:rsid w:val="00F211FF"/>
    <w:rsid w:val="00F22244"/>
    <w:rsid w:val="00F223CF"/>
    <w:rsid w:val="00F23134"/>
    <w:rsid w:val="00F23300"/>
    <w:rsid w:val="00F236D6"/>
    <w:rsid w:val="00F242FF"/>
    <w:rsid w:val="00F24823"/>
    <w:rsid w:val="00F25183"/>
    <w:rsid w:val="00F265F1"/>
    <w:rsid w:val="00F26813"/>
    <w:rsid w:val="00F26FA3"/>
    <w:rsid w:val="00F2700B"/>
    <w:rsid w:val="00F306B4"/>
    <w:rsid w:val="00F30F00"/>
    <w:rsid w:val="00F31197"/>
    <w:rsid w:val="00F3366C"/>
    <w:rsid w:val="00F33B67"/>
    <w:rsid w:val="00F34404"/>
    <w:rsid w:val="00F361AD"/>
    <w:rsid w:val="00F36B22"/>
    <w:rsid w:val="00F37DA8"/>
    <w:rsid w:val="00F37F4F"/>
    <w:rsid w:val="00F37F7F"/>
    <w:rsid w:val="00F37FA0"/>
    <w:rsid w:val="00F41603"/>
    <w:rsid w:val="00F416C9"/>
    <w:rsid w:val="00F42D58"/>
    <w:rsid w:val="00F4350B"/>
    <w:rsid w:val="00F438CA"/>
    <w:rsid w:val="00F44EAB"/>
    <w:rsid w:val="00F457C0"/>
    <w:rsid w:val="00F47431"/>
    <w:rsid w:val="00F47BBE"/>
    <w:rsid w:val="00F50371"/>
    <w:rsid w:val="00F5172F"/>
    <w:rsid w:val="00F517A6"/>
    <w:rsid w:val="00F5488C"/>
    <w:rsid w:val="00F55202"/>
    <w:rsid w:val="00F55960"/>
    <w:rsid w:val="00F6118A"/>
    <w:rsid w:val="00F6147F"/>
    <w:rsid w:val="00F62253"/>
    <w:rsid w:val="00F62457"/>
    <w:rsid w:val="00F63CE7"/>
    <w:rsid w:val="00F63CFB"/>
    <w:rsid w:val="00F64614"/>
    <w:rsid w:val="00F650F5"/>
    <w:rsid w:val="00F65366"/>
    <w:rsid w:val="00F65839"/>
    <w:rsid w:val="00F66316"/>
    <w:rsid w:val="00F66641"/>
    <w:rsid w:val="00F674A5"/>
    <w:rsid w:val="00F677F6"/>
    <w:rsid w:val="00F67F9C"/>
    <w:rsid w:val="00F70842"/>
    <w:rsid w:val="00F709D4"/>
    <w:rsid w:val="00F71633"/>
    <w:rsid w:val="00F71F93"/>
    <w:rsid w:val="00F724B5"/>
    <w:rsid w:val="00F72D70"/>
    <w:rsid w:val="00F72E8F"/>
    <w:rsid w:val="00F7333C"/>
    <w:rsid w:val="00F73421"/>
    <w:rsid w:val="00F74B52"/>
    <w:rsid w:val="00F7570C"/>
    <w:rsid w:val="00F75770"/>
    <w:rsid w:val="00F764CD"/>
    <w:rsid w:val="00F7699A"/>
    <w:rsid w:val="00F76DEC"/>
    <w:rsid w:val="00F809D5"/>
    <w:rsid w:val="00F80CCF"/>
    <w:rsid w:val="00F81C91"/>
    <w:rsid w:val="00F81E76"/>
    <w:rsid w:val="00F82F15"/>
    <w:rsid w:val="00F83498"/>
    <w:rsid w:val="00F83890"/>
    <w:rsid w:val="00F8390E"/>
    <w:rsid w:val="00F83A10"/>
    <w:rsid w:val="00F84A27"/>
    <w:rsid w:val="00F84C19"/>
    <w:rsid w:val="00F85C25"/>
    <w:rsid w:val="00F90687"/>
    <w:rsid w:val="00F90D6F"/>
    <w:rsid w:val="00F91356"/>
    <w:rsid w:val="00F9159A"/>
    <w:rsid w:val="00F9281B"/>
    <w:rsid w:val="00F9424F"/>
    <w:rsid w:val="00F957F0"/>
    <w:rsid w:val="00F9690A"/>
    <w:rsid w:val="00F97591"/>
    <w:rsid w:val="00FA1760"/>
    <w:rsid w:val="00FA2067"/>
    <w:rsid w:val="00FA38C5"/>
    <w:rsid w:val="00FA4BF2"/>
    <w:rsid w:val="00FA624F"/>
    <w:rsid w:val="00FA6AF0"/>
    <w:rsid w:val="00FA74BE"/>
    <w:rsid w:val="00FA78C4"/>
    <w:rsid w:val="00FA79B2"/>
    <w:rsid w:val="00FB0F8E"/>
    <w:rsid w:val="00FB18D1"/>
    <w:rsid w:val="00FB296A"/>
    <w:rsid w:val="00FB2A48"/>
    <w:rsid w:val="00FB3E3E"/>
    <w:rsid w:val="00FB587A"/>
    <w:rsid w:val="00FB6BE0"/>
    <w:rsid w:val="00FB6CE0"/>
    <w:rsid w:val="00FB7A54"/>
    <w:rsid w:val="00FC00C2"/>
    <w:rsid w:val="00FC0DA9"/>
    <w:rsid w:val="00FC12EC"/>
    <w:rsid w:val="00FC15ED"/>
    <w:rsid w:val="00FC24DF"/>
    <w:rsid w:val="00FC3F4B"/>
    <w:rsid w:val="00FC415F"/>
    <w:rsid w:val="00FC4C8F"/>
    <w:rsid w:val="00FC5941"/>
    <w:rsid w:val="00FC64B6"/>
    <w:rsid w:val="00FC738A"/>
    <w:rsid w:val="00FC7608"/>
    <w:rsid w:val="00FD0521"/>
    <w:rsid w:val="00FD1621"/>
    <w:rsid w:val="00FD1D46"/>
    <w:rsid w:val="00FD2C61"/>
    <w:rsid w:val="00FD318D"/>
    <w:rsid w:val="00FD4CE0"/>
    <w:rsid w:val="00FD4E48"/>
    <w:rsid w:val="00FD5524"/>
    <w:rsid w:val="00FD7E2D"/>
    <w:rsid w:val="00FD7FE5"/>
    <w:rsid w:val="00FE04AA"/>
    <w:rsid w:val="00FE0AE9"/>
    <w:rsid w:val="00FE0BAC"/>
    <w:rsid w:val="00FE1508"/>
    <w:rsid w:val="00FE203E"/>
    <w:rsid w:val="00FE31E7"/>
    <w:rsid w:val="00FE3709"/>
    <w:rsid w:val="00FE41E2"/>
    <w:rsid w:val="00FE4C01"/>
    <w:rsid w:val="00FE4D21"/>
    <w:rsid w:val="00FE51DE"/>
    <w:rsid w:val="00FE58DC"/>
    <w:rsid w:val="00FE5DBD"/>
    <w:rsid w:val="00FE60E3"/>
    <w:rsid w:val="00FE7D73"/>
    <w:rsid w:val="00FF0E9F"/>
    <w:rsid w:val="00FF2F6A"/>
    <w:rsid w:val="00FF3207"/>
    <w:rsid w:val="00FF3746"/>
    <w:rsid w:val="00FF40E1"/>
    <w:rsid w:val="00FF5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C3BAC5"/>
  <w15:chartTrackingRefBased/>
  <w15:docId w15:val="{8BF3463F-CFB3-4E20-8EA2-45F83F20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E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E9E"/>
  </w:style>
  <w:style w:type="paragraph" w:styleId="Footer">
    <w:name w:val="footer"/>
    <w:basedOn w:val="Normal"/>
    <w:link w:val="FooterChar"/>
    <w:uiPriority w:val="99"/>
    <w:unhideWhenUsed/>
    <w:rsid w:val="009B7E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E9E"/>
  </w:style>
  <w:style w:type="character" w:styleId="Hyperlink">
    <w:name w:val="Hyperlink"/>
    <w:basedOn w:val="DefaultParagraphFont"/>
    <w:uiPriority w:val="99"/>
    <w:unhideWhenUsed/>
    <w:rsid w:val="00612D14"/>
    <w:rPr>
      <w:color w:val="0563C1" w:themeColor="hyperlink"/>
      <w:u w:val="single"/>
    </w:rPr>
  </w:style>
  <w:style w:type="character" w:styleId="UnresolvedMention">
    <w:name w:val="Unresolved Mention"/>
    <w:basedOn w:val="DefaultParagraphFont"/>
    <w:uiPriority w:val="99"/>
    <w:semiHidden/>
    <w:unhideWhenUsed/>
    <w:rsid w:val="00612D14"/>
    <w:rPr>
      <w:color w:val="808080"/>
      <w:shd w:val="clear" w:color="auto" w:fill="E6E6E6"/>
    </w:rPr>
  </w:style>
  <w:style w:type="paragraph" w:styleId="ListParagraph">
    <w:name w:val="List Paragraph"/>
    <w:basedOn w:val="Normal"/>
    <w:uiPriority w:val="34"/>
    <w:qFormat/>
    <w:rsid w:val="00454CAE"/>
    <w:pPr>
      <w:ind w:left="720"/>
      <w:contextualSpacing/>
    </w:pPr>
  </w:style>
  <w:style w:type="paragraph" w:styleId="BalloonText">
    <w:name w:val="Balloon Text"/>
    <w:basedOn w:val="Normal"/>
    <w:link w:val="BalloonTextChar"/>
    <w:uiPriority w:val="99"/>
    <w:semiHidden/>
    <w:unhideWhenUsed/>
    <w:rsid w:val="001D35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531"/>
    <w:rPr>
      <w:rFonts w:ascii="Segoe UI" w:hAnsi="Segoe UI" w:cs="Segoe UI"/>
      <w:sz w:val="18"/>
      <w:szCs w:val="18"/>
    </w:rPr>
  </w:style>
  <w:style w:type="paragraph" w:styleId="NormalWeb">
    <w:name w:val="Normal (Web)"/>
    <w:basedOn w:val="Normal"/>
    <w:uiPriority w:val="99"/>
    <w:semiHidden/>
    <w:unhideWhenUsed/>
    <w:rsid w:val="002277E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51AB"/>
    <w:rPr>
      <w:b/>
      <w:bCs/>
    </w:rPr>
  </w:style>
  <w:style w:type="character" w:styleId="Emphasis">
    <w:name w:val="Emphasis"/>
    <w:basedOn w:val="DefaultParagraphFont"/>
    <w:uiPriority w:val="20"/>
    <w:qFormat/>
    <w:rsid w:val="00E851AB"/>
    <w:rPr>
      <w:i/>
      <w:iCs/>
    </w:rPr>
  </w:style>
  <w:style w:type="character" w:styleId="CommentReference">
    <w:name w:val="annotation reference"/>
    <w:basedOn w:val="DefaultParagraphFont"/>
    <w:uiPriority w:val="99"/>
    <w:semiHidden/>
    <w:unhideWhenUsed/>
    <w:rsid w:val="0087191D"/>
    <w:rPr>
      <w:sz w:val="16"/>
      <w:szCs w:val="16"/>
    </w:rPr>
  </w:style>
  <w:style w:type="paragraph" w:styleId="CommentText">
    <w:name w:val="annotation text"/>
    <w:basedOn w:val="Normal"/>
    <w:link w:val="CommentTextChar"/>
    <w:uiPriority w:val="99"/>
    <w:semiHidden/>
    <w:unhideWhenUsed/>
    <w:rsid w:val="0087191D"/>
    <w:pPr>
      <w:spacing w:line="240" w:lineRule="auto"/>
    </w:pPr>
    <w:rPr>
      <w:sz w:val="20"/>
      <w:szCs w:val="20"/>
    </w:rPr>
  </w:style>
  <w:style w:type="character" w:customStyle="1" w:styleId="CommentTextChar">
    <w:name w:val="Comment Text Char"/>
    <w:basedOn w:val="DefaultParagraphFont"/>
    <w:link w:val="CommentText"/>
    <w:uiPriority w:val="99"/>
    <w:semiHidden/>
    <w:rsid w:val="0087191D"/>
    <w:rPr>
      <w:sz w:val="20"/>
      <w:szCs w:val="20"/>
    </w:rPr>
  </w:style>
  <w:style w:type="paragraph" w:styleId="CommentSubject">
    <w:name w:val="annotation subject"/>
    <w:basedOn w:val="CommentText"/>
    <w:next w:val="CommentText"/>
    <w:link w:val="CommentSubjectChar"/>
    <w:uiPriority w:val="99"/>
    <w:semiHidden/>
    <w:unhideWhenUsed/>
    <w:rsid w:val="0087191D"/>
    <w:rPr>
      <w:b/>
      <w:bCs/>
    </w:rPr>
  </w:style>
  <w:style w:type="character" w:customStyle="1" w:styleId="CommentSubjectChar">
    <w:name w:val="Comment Subject Char"/>
    <w:basedOn w:val="CommentTextChar"/>
    <w:link w:val="CommentSubject"/>
    <w:uiPriority w:val="99"/>
    <w:semiHidden/>
    <w:rsid w:val="0087191D"/>
    <w:rPr>
      <w:b/>
      <w:bCs/>
      <w:sz w:val="20"/>
      <w:szCs w:val="20"/>
    </w:rPr>
  </w:style>
  <w:style w:type="paragraph" w:customStyle="1" w:styleId="yiv4264280208msonormal">
    <w:name w:val="yiv4264280208msonormal"/>
    <w:basedOn w:val="Normal"/>
    <w:rsid w:val="007D43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7946">
      <w:bodyDiv w:val="1"/>
      <w:marLeft w:val="0"/>
      <w:marRight w:val="0"/>
      <w:marTop w:val="0"/>
      <w:marBottom w:val="0"/>
      <w:divBdr>
        <w:top w:val="none" w:sz="0" w:space="0" w:color="auto"/>
        <w:left w:val="none" w:sz="0" w:space="0" w:color="auto"/>
        <w:bottom w:val="none" w:sz="0" w:space="0" w:color="auto"/>
        <w:right w:val="none" w:sz="0" w:space="0" w:color="auto"/>
      </w:divBdr>
    </w:div>
    <w:div w:id="78715936">
      <w:bodyDiv w:val="1"/>
      <w:marLeft w:val="0"/>
      <w:marRight w:val="0"/>
      <w:marTop w:val="0"/>
      <w:marBottom w:val="0"/>
      <w:divBdr>
        <w:top w:val="none" w:sz="0" w:space="0" w:color="auto"/>
        <w:left w:val="none" w:sz="0" w:space="0" w:color="auto"/>
        <w:bottom w:val="none" w:sz="0" w:space="0" w:color="auto"/>
        <w:right w:val="none" w:sz="0" w:space="0" w:color="auto"/>
      </w:divBdr>
    </w:div>
    <w:div w:id="96877091">
      <w:bodyDiv w:val="1"/>
      <w:marLeft w:val="0"/>
      <w:marRight w:val="0"/>
      <w:marTop w:val="0"/>
      <w:marBottom w:val="0"/>
      <w:divBdr>
        <w:top w:val="none" w:sz="0" w:space="0" w:color="auto"/>
        <w:left w:val="none" w:sz="0" w:space="0" w:color="auto"/>
        <w:bottom w:val="none" w:sz="0" w:space="0" w:color="auto"/>
        <w:right w:val="none" w:sz="0" w:space="0" w:color="auto"/>
      </w:divBdr>
    </w:div>
    <w:div w:id="109907122">
      <w:bodyDiv w:val="1"/>
      <w:marLeft w:val="0"/>
      <w:marRight w:val="0"/>
      <w:marTop w:val="0"/>
      <w:marBottom w:val="0"/>
      <w:divBdr>
        <w:top w:val="none" w:sz="0" w:space="0" w:color="auto"/>
        <w:left w:val="none" w:sz="0" w:space="0" w:color="auto"/>
        <w:bottom w:val="none" w:sz="0" w:space="0" w:color="auto"/>
        <w:right w:val="none" w:sz="0" w:space="0" w:color="auto"/>
      </w:divBdr>
      <w:divsChild>
        <w:div w:id="1011026108">
          <w:marLeft w:val="446"/>
          <w:marRight w:val="0"/>
          <w:marTop w:val="0"/>
          <w:marBottom w:val="0"/>
          <w:divBdr>
            <w:top w:val="none" w:sz="0" w:space="0" w:color="auto"/>
            <w:left w:val="none" w:sz="0" w:space="0" w:color="auto"/>
            <w:bottom w:val="none" w:sz="0" w:space="0" w:color="auto"/>
            <w:right w:val="none" w:sz="0" w:space="0" w:color="auto"/>
          </w:divBdr>
        </w:div>
        <w:div w:id="2015717497">
          <w:marLeft w:val="446"/>
          <w:marRight w:val="0"/>
          <w:marTop w:val="0"/>
          <w:marBottom w:val="0"/>
          <w:divBdr>
            <w:top w:val="none" w:sz="0" w:space="0" w:color="auto"/>
            <w:left w:val="none" w:sz="0" w:space="0" w:color="auto"/>
            <w:bottom w:val="none" w:sz="0" w:space="0" w:color="auto"/>
            <w:right w:val="none" w:sz="0" w:space="0" w:color="auto"/>
          </w:divBdr>
        </w:div>
        <w:div w:id="2059737780">
          <w:marLeft w:val="446"/>
          <w:marRight w:val="0"/>
          <w:marTop w:val="0"/>
          <w:marBottom w:val="0"/>
          <w:divBdr>
            <w:top w:val="none" w:sz="0" w:space="0" w:color="auto"/>
            <w:left w:val="none" w:sz="0" w:space="0" w:color="auto"/>
            <w:bottom w:val="none" w:sz="0" w:space="0" w:color="auto"/>
            <w:right w:val="none" w:sz="0" w:space="0" w:color="auto"/>
          </w:divBdr>
        </w:div>
      </w:divsChild>
    </w:div>
    <w:div w:id="129326412">
      <w:bodyDiv w:val="1"/>
      <w:marLeft w:val="0"/>
      <w:marRight w:val="0"/>
      <w:marTop w:val="0"/>
      <w:marBottom w:val="0"/>
      <w:divBdr>
        <w:top w:val="none" w:sz="0" w:space="0" w:color="auto"/>
        <w:left w:val="none" w:sz="0" w:space="0" w:color="auto"/>
        <w:bottom w:val="none" w:sz="0" w:space="0" w:color="auto"/>
        <w:right w:val="none" w:sz="0" w:space="0" w:color="auto"/>
      </w:divBdr>
    </w:div>
    <w:div w:id="143930996">
      <w:bodyDiv w:val="1"/>
      <w:marLeft w:val="0"/>
      <w:marRight w:val="0"/>
      <w:marTop w:val="0"/>
      <w:marBottom w:val="0"/>
      <w:divBdr>
        <w:top w:val="none" w:sz="0" w:space="0" w:color="auto"/>
        <w:left w:val="none" w:sz="0" w:space="0" w:color="auto"/>
        <w:bottom w:val="none" w:sz="0" w:space="0" w:color="auto"/>
        <w:right w:val="none" w:sz="0" w:space="0" w:color="auto"/>
      </w:divBdr>
    </w:div>
    <w:div w:id="144669822">
      <w:bodyDiv w:val="1"/>
      <w:marLeft w:val="0"/>
      <w:marRight w:val="0"/>
      <w:marTop w:val="0"/>
      <w:marBottom w:val="0"/>
      <w:divBdr>
        <w:top w:val="none" w:sz="0" w:space="0" w:color="auto"/>
        <w:left w:val="none" w:sz="0" w:space="0" w:color="auto"/>
        <w:bottom w:val="none" w:sz="0" w:space="0" w:color="auto"/>
        <w:right w:val="none" w:sz="0" w:space="0" w:color="auto"/>
      </w:divBdr>
    </w:div>
    <w:div w:id="175123227">
      <w:bodyDiv w:val="1"/>
      <w:marLeft w:val="0"/>
      <w:marRight w:val="0"/>
      <w:marTop w:val="0"/>
      <w:marBottom w:val="0"/>
      <w:divBdr>
        <w:top w:val="none" w:sz="0" w:space="0" w:color="auto"/>
        <w:left w:val="none" w:sz="0" w:space="0" w:color="auto"/>
        <w:bottom w:val="none" w:sz="0" w:space="0" w:color="auto"/>
        <w:right w:val="none" w:sz="0" w:space="0" w:color="auto"/>
      </w:divBdr>
    </w:div>
    <w:div w:id="198976266">
      <w:bodyDiv w:val="1"/>
      <w:marLeft w:val="0"/>
      <w:marRight w:val="0"/>
      <w:marTop w:val="0"/>
      <w:marBottom w:val="0"/>
      <w:divBdr>
        <w:top w:val="none" w:sz="0" w:space="0" w:color="auto"/>
        <w:left w:val="none" w:sz="0" w:space="0" w:color="auto"/>
        <w:bottom w:val="none" w:sz="0" w:space="0" w:color="auto"/>
        <w:right w:val="none" w:sz="0" w:space="0" w:color="auto"/>
      </w:divBdr>
    </w:div>
    <w:div w:id="220865909">
      <w:bodyDiv w:val="1"/>
      <w:marLeft w:val="0"/>
      <w:marRight w:val="0"/>
      <w:marTop w:val="0"/>
      <w:marBottom w:val="0"/>
      <w:divBdr>
        <w:top w:val="none" w:sz="0" w:space="0" w:color="auto"/>
        <w:left w:val="none" w:sz="0" w:space="0" w:color="auto"/>
        <w:bottom w:val="none" w:sz="0" w:space="0" w:color="auto"/>
        <w:right w:val="none" w:sz="0" w:space="0" w:color="auto"/>
      </w:divBdr>
    </w:div>
    <w:div w:id="245192250">
      <w:bodyDiv w:val="1"/>
      <w:marLeft w:val="0"/>
      <w:marRight w:val="0"/>
      <w:marTop w:val="0"/>
      <w:marBottom w:val="0"/>
      <w:divBdr>
        <w:top w:val="none" w:sz="0" w:space="0" w:color="auto"/>
        <w:left w:val="none" w:sz="0" w:space="0" w:color="auto"/>
        <w:bottom w:val="none" w:sz="0" w:space="0" w:color="auto"/>
        <w:right w:val="none" w:sz="0" w:space="0" w:color="auto"/>
      </w:divBdr>
    </w:div>
    <w:div w:id="278266234">
      <w:bodyDiv w:val="1"/>
      <w:marLeft w:val="0"/>
      <w:marRight w:val="0"/>
      <w:marTop w:val="0"/>
      <w:marBottom w:val="0"/>
      <w:divBdr>
        <w:top w:val="none" w:sz="0" w:space="0" w:color="auto"/>
        <w:left w:val="none" w:sz="0" w:space="0" w:color="auto"/>
        <w:bottom w:val="none" w:sz="0" w:space="0" w:color="auto"/>
        <w:right w:val="none" w:sz="0" w:space="0" w:color="auto"/>
      </w:divBdr>
    </w:div>
    <w:div w:id="295598970">
      <w:bodyDiv w:val="1"/>
      <w:marLeft w:val="0"/>
      <w:marRight w:val="0"/>
      <w:marTop w:val="0"/>
      <w:marBottom w:val="0"/>
      <w:divBdr>
        <w:top w:val="none" w:sz="0" w:space="0" w:color="auto"/>
        <w:left w:val="none" w:sz="0" w:space="0" w:color="auto"/>
        <w:bottom w:val="none" w:sz="0" w:space="0" w:color="auto"/>
        <w:right w:val="none" w:sz="0" w:space="0" w:color="auto"/>
      </w:divBdr>
    </w:div>
    <w:div w:id="322123250">
      <w:bodyDiv w:val="1"/>
      <w:marLeft w:val="0"/>
      <w:marRight w:val="0"/>
      <w:marTop w:val="0"/>
      <w:marBottom w:val="0"/>
      <w:divBdr>
        <w:top w:val="none" w:sz="0" w:space="0" w:color="auto"/>
        <w:left w:val="none" w:sz="0" w:space="0" w:color="auto"/>
        <w:bottom w:val="none" w:sz="0" w:space="0" w:color="auto"/>
        <w:right w:val="none" w:sz="0" w:space="0" w:color="auto"/>
      </w:divBdr>
    </w:div>
    <w:div w:id="326981290">
      <w:bodyDiv w:val="1"/>
      <w:marLeft w:val="0"/>
      <w:marRight w:val="0"/>
      <w:marTop w:val="0"/>
      <w:marBottom w:val="0"/>
      <w:divBdr>
        <w:top w:val="none" w:sz="0" w:space="0" w:color="auto"/>
        <w:left w:val="none" w:sz="0" w:space="0" w:color="auto"/>
        <w:bottom w:val="none" w:sz="0" w:space="0" w:color="auto"/>
        <w:right w:val="none" w:sz="0" w:space="0" w:color="auto"/>
      </w:divBdr>
    </w:div>
    <w:div w:id="349917537">
      <w:bodyDiv w:val="1"/>
      <w:marLeft w:val="0"/>
      <w:marRight w:val="0"/>
      <w:marTop w:val="0"/>
      <w:marBottom w:val="0"/>
      <w:divBdr>
        <w:top w:val="none" w:sz="0" w:space="0" w:color="auto"/>
        <w:left w:val="none" w:sz="0" w:space="0" w:color="auto"/>
        <w:bottom w:val="none" w:sz="0" w:space="0" w:color="auto"/>
        <w:right w:val="none" w:sz="0" w:space="0" w:color="auto"/>
      </w:divBdr>
    </w:div>
    <w:div w:id="395007850">
      <w:bodyDiv w:val="1"/>
      <w:marLeft w:val="0"/>
      <w:marRight w:val="0"/>
      <w:marTop w:val="0"/>
      <w:marBottom w:val="0"/>
      <w:divBdr>
        <w:top w:val="none" w:sz="0" w:space="0" w:color="auto"/>
        <w:left w:val="none" w:sz="0" w:space="0" w:color="auto"/>
        <w:bottom w:val="none" w:sz="0" w:space="0" w:color="auto"/>
        <w:right w:val="none" w:sz="0" w:space="0" w:color="auto"/>
      </w:divBdr>
    </w:div>
    <w:div w:id="461074608">
      <w:bodyDiv w:val="1"/>
      <w:marLeft w:val="0"/>
      <w:marRight w:val="0"/>
      <w:marTop w:val="0"/>
      <w:marBottom w:val="0"/>
      <w:divBdr>
        <w:top w:val="none" w:sz="0" w:space="0" w:color="auto"/>
        <w:left w:val="none" w:sz="0" w:space="0" w:color="auto"/>
        <w:bottom w:val="none" w:sz="0" w:space="0" w:color="auto"/>
        <w:right w:val="none" w:sz="0" w:space="0" w:color="auto"/>
      </w:divBdr>
    </w:div>
    <w:div w:id="462046836">
      <w:bodyDiv w:val="1"/>
      <w:marLeft w:val="0"/>
      <w:marRight w:val="0"/>
      <w:marTop w:val="0"/>
      <w:marBottom w:val="0"/>
      <w:divBdr>
        <w:top w:val="none" w:sz="0" w:space="0" w:color="auto"/>
        <w:left w:val="none" w:sz="0" w:space="0" w:color="auto"/>
        <w:bottom w:val="none" w:sz="0" w:space="0" w:color="auto"/>
        <w:right w:val="none" w:sz="0" w:space="0" w:color="auto"/>
      </w:divBdr>
    </w:div>
    <w:div w:id="486825420">
      <w:bodyDiv w:val="1"/>
      <w:marLeft w:val="0"/>
      <w:marRight w:val="0"/>
      <w:marTop w:val="0"/>
      <w:marBottom w:val="0"/>
      <w:divBdr>
        <w:top w:val="none" w:sz="0" w:space="0" w:color="auto"/>
        <w:left w:val="none" w:sz="0" w:space="0" w:color="auto"/>
        <w:bottom w:val="none" w:sz="0" w:space="0" w:color="auto"/>
        <w:right w:val="none" w:sz="0" w:space="0" w:color="auto"/>
      </w:divBdr>
    </w:div>
    <w:div w:id="504052557">
      <w:bodyDiv w:val="1"/>
      <w:marLeft w:val="0"/>
      <w:marRight w:val="0"/>
      <w:marTop w:val="0"/>
      <w:marBottom w:val="0"/>
      <w:divBdr>
        <w:top w:val="none" w:sz="0" w:space="0" w:color="auto"/>
        <w:left w:val="none" w:sz="0" w:space="0" w:color="auto"/>
        <w:bottom w:val="none" w:sz="0" w:space="0" w:color="auto"/>
        <w:right w:val="none" w:sz="0" w:space="0" w:color="auto"/>
      </w:divBdr>
    </w:div>
    <w:div w:id="530917961">
      <w:bodyDiv w:val="1"/>
      <w:marLeft w:val="0"/>
      <w:marRight w:val="0"/>
      <w:marTop w:val="0"/>
      <w:marBottom w:val="0"/>
      <w:divBdr>
        <w:top w:val="none" w:sz="0" w:space="0" w:color="auto"/>
        <w:left w:val="none" w:sz="0" w:space="0" w:color="auto"/>
        <w:bottom w:val="none" w:sz="0" w:space="0" w:color="auto"/>
        <w:right w:val="none" w:sz="0" w:space="0" w:color="auto"/>
      </w:divBdr>
      <w:divsChild>
        <w:div w:id="254746410">
          <w:marLeft w:val="446"/>
          <w:marRight w:val="0"/>
          <w:marTop w:val="0"/>
          <w:marBottom w:val="0"/>
          <w:divBdr>
            <w:top w:val="none" w:sz="0" w:space="0" w:color="auto"/>
            <w:left w:val="none" w:sz="0" w:space="0" w:color="auto"/>
            <w:bottom w:val="none" w:sz="0" w:space="0" w:color="auto"/>
            <w:right w:val="none" w:sz="0" w:space="0" w:color="auto"/>
          </w:divBdr>
        </w:div>
        <w:div w:id="1236743349">
          <w:marLeft w:val="446"/>
          <w:marRight w:val="0"/>
          <w:marTop w:val="0"/>
          <w:marBottom w:val="0"/>
          <w:divBdr>
            <w:top w:val="none" w:sz="0" w:space="0" w:color="auto"/>
            <w:left w:val="none" w:sz="0" w:space="0" w:color="auto"/>
            <w:bottom w:val="none" w:sz="0" w:space="0" w:color="auto"/>
            <w:right w:val="none" w:sz="0" w:space="0" w:color="auto"/>
          </w:divBdr>
        </w:div>
        <w:div w:id="1292328113">
          <w:marLeft w:val="446"/>
          <w:marRight w:val="0"/>
          <w:marTop w:val="0"/>
          <w:marBottom w:val="0"/>
          <w:divBdr>
            <w:top w:val="none" w:sz="0" w:space="0" w:color="auto"/>
            <w:left w:val="none" w:sz="0" w:space="0" w:color="auto"/>
            <w:bottom w:val="none" w:sz="0" w:space="0" w:color="auto"/>
            <w:right w:val="none" w:sz="0" w:space="0" w:color="auto"/>
          </w:divBdr>
        </w:div>
        <w:div w:id="1398477780">
          <w:marLeft w:val="446"/>
          <w:marRight w:val="0"/>
          <w:marTop w:val="0"/>
          <w:marBottom w:val="0"/>
          <w:divBdr>
            <w:top w:val="none" w:sz="0" w:space="0" w:color="auto"/>
            <w:left w:val="none" w:sz="0" w:space="0" w:color="auto"/>
            <w:bottom w:val="none" w:sz="0" w:space="0" w:color="auto"/>
            <w:right w:val="none" w:sz="0" w:space="0" w:color="auto"/>
          </w:divBdr>
        </w:div>
        <w:div w:id="1402368333">
          <w:marLeft w:val="446"/>
          <w:marRight w:val="0"/>
          <w:marTop w:val="0"/>
          <w:marBottom w:val="0"/>
          <w:divBdr>
            <w:top w:val="none" w:sz="0" w:space="0" w:color="auto"/>
            <w:left w:val="none" w:sz="0" w:space="0" w:color="auto"/>
            <w:bottom w:val="none" w:sz="0" w:space="0" w:color="auto"/>
            <w:right w:val="none" w:sz="0" w:space="0" w:color="auto"/>
          </w:divBdr>
        </w:div>
        <w:div w:id="1414744402">
          <w:marLeft w:val="446"/>
          <w:marRight w:val="0"/>
          <w:marTop w:val="0"/>
          <w:marBottom w:val="0"/>
          <w:divBdr>
            <w:top w:val="none" w:sz="0" w:space="0" w:color="auto"/>
            <w:left w:val="none" w:sz="0" w:space="0" w:color="auto"/>
            <w:bottom w:val="none" w:sz="0" w:space="0" w:color="auto"/>
            <w:right w:val="none" w:sz="0" w:space="0" w:color="auto"/>
          </w:divBdr>
        </w:div>
        <w:div w:id="1423331116">
          <w:marLeft w:val="446"/>
          <w:marRight w:val="0"/>
          <w:marTop w:val="0"/>
          <w:marBottom w:val="0"/>
          <w:divBdr>
            <w:top w:val="none" w:sz="0" w:space="0" w:color="auto"/>
            <w:left w:val="none" w:sz="0" w:space="0" w:color="auto"/>
            <w:bottom w:val="none" w:sz="0" w:space="0" w:color="auto"/>
            <w:right w:val="none" w:sz="0" w:space="0" w:color="auto"/>
          </w:divBdr>
        </w:div>
        <w:div w:id="1557736860">
          <w:marLeft w:val="446"/>
          <w:marRight w:val="0"/>
          <w:marTop w:val="0"/>
          <w:marBottom w:val="0"/>
          <w:divBdr>
            <w:top w:val="none" w:sz="0" w:space="0" w:color="auto"/>
            <w:left w:val="none" w:sz="0" w:space="0" w:color="auto"/>
            <w:bottom w:val="none" w:sz="0" w:space="0" w:color="auto"/>
            <w:right w:val="none" w:sz="0" w:space="0" w:color="auto"/>
          </w:divBdr>
        </w:div>
        <w:div w:id="1642928897">
          <w:marLeft w:val="1166"/>
          <w:marRight w:val="0"/>
          <w:marTop w:val="0"/>
          <w:marBottom w:val="0"/>
          <w:divBdr>
            <w:top w:val="none" w:sz="0" w:space="0" w:color="auto"/>
            <w:left w:val="none" w:sz="0" w:space="0" w:color="auto"/>
            <w:bottom w:val="none" w:sz="0" w:space="0" w:color="auto"/>
            <w:right w:val="none" w:sz="0" w:space="0" w:color="auto"/>
          </w:divBdr>
        </w:div>
      </w:divsChild>
    </w:div>
    <w:div w:id="568925772">
      <w:bodyDiv w:val="1"/>
      <w:marLeft w:val="0"/>
      <w:marRight w:val="0"/>
      <w:marTop w:val="0"/>
      <w:marBottom w:val="0"/>
      <w:divBdr>
        <w:top w:val="none" w:sz="0" w:space="0" w:color="auto"/>
        <w:left w:val="none" w:sz="0" w:space="0" w:color="auto"/>
        <w:bottom w:val="none" w:sz="0" w:space="0" w:color="auto"/>
        <w:right w:val="none" w:sz="0" w:space="0" w:color="auto"/>
      </w:divBdr>
    </w:div>
    <w:div w:id="570240999">
      <w:bodyDiv w:val="1"/>
      <w:marLeft w:val="0"/>
      <w:marRight w:val="0"/>
      <w:marTop w:val="0"/>
      <w:marBottom w:val="0"/>
      <w:divBdr>
        <w:top w:val="none" w:sz="0" w:space="0" w:color="auto"/>
        <w:left w:val="none" w:sz="0" w:space="0" w:color="auto"/>
        <w:bottom w:val="none" w:sz="0" w:space="0" w:color="auto"/>
        <w:right w:val="none" w:sz="0" w:space="0" w:color="auto"/>
      </w:divBdr>
    </w:div>
    <w:div w:id="572547434">
      <w:bodyDiv w:val="1"/>
      <w:marLeft w:val="0"/>
      <w:marRight w:val="0"/>
      <w:marTop w:val="0"/>
      <w:marBottom w:val="0"/>
      <w:divBdr>
        <w:top w:val="none" w:sz="0" w:space="0" w:color="auto"/>
        <w:left w:val="none" w:sz="0" w:space="0" w:color="auto"/>
        <w:bottom w:val="none" w:sz="0" w:space="0" w:color="auto"/>
        <w:right w:val="none" w:sz="0" w:space="0" w:color="auto"/>
      </w:divBdr>
    </w:div>
    <w:div w:id="631983446">
      <w:bodyDiv w:val="1"/>
      <w:marLeft w:val="0"/>
      <w:marRight w:val="0"/>
      <w:marTop w:val="0"/>
      <w:marBottom w:val="0"/>
      <w:divBdr>
        <w:top w:val="none" w:sz="0" w:space="0" w:color="auto"/>
        <w:left w:val="none" w:sz="0" w:space="0" w:color="auto"/>
        <w:bottom w:val="none" w:sz="0" w:space="0" w:color="auto"/>
        <w:right w:val="none" w:sz="0" w:space="0" w:color="auto"/>
      </w:divBdr>
    </w:div>
    <w:div w:id="651182525">
      <w:bodyDiv w:val="1"/>
      <w:marLeft w:val="0"/>
      <w:marRight w:val="0"/>
      <w:marTop w:val="0"/>
      <w:marBottom w:val="0"/>
      <w:divBdr>
        <w:top w:val="none" w:sz="0" w:space="0" w:color="auto"/>
        <w:left w:val="none" w:sz="0" w:space="0" w:color="auto"/>
        <w:bottom w:val="none" w:sz="0" w:space="0" w:color="auto"/>
        <w:right w:val="none" w:sz="0" w:space="0" w:color="auto"/>
      </w:divBdr>
      <w:divsChild>
        <w:div w:id="718895397">
          <w:marLeft w:val="0"/>
          <w:marRight w:val="0"/>
          <w:marTop w:val="0"/>
          <w:marBottom w:val="0"/>
          <w:divBdr>
            <w:top w:val="none" w:sz="0" w:space="0" w:color="auto"/>
            <w:left w:val="none" w:sz="0" w:space="0" w:color="auto"/>
            <w:bottom w:val="none" w:sz="0" w:space="0" w:color="auto"/>
            <w:right w:val="none" w:sz="0" w:space="0" w:color="auto"/>
          </w:divBdr>
          <w:divsChild>
            <w:div w:id="234244943">
              <w:marLeft w:val="0"/>
              <w:marRight w:val="0"/>
              <w:marTop w:val="0"/>
              <w:marBottom w:val="0"/>
              <w:divBdr>
                <w:top w:val="none" w:sz="0" w:space="0" w:color="auto"/>
                <w:left w:val="none" w:sz="0" w:space="0" w:color="auto"/>
                <w:bottom w:val="none" w:sz="0" w:space="0" w:color="auto"/>
                <w:right w:val="none" w:sz="0" w:space="0" w:color="auto"/>
              </w:divBdr>
              <w:divsChild>
                <w:div w:id="2074887640">
                  <w:marLeft w:val="0"/>
                  <w:marRight w:val="0"/>
                  <w:marTop w:val="0"/>
                  <w:marBottom w:val="0"/>
                  <w:divBdr>
                    <w:top w:val="none" w:sz="0" w:space="0" w:color="auto"/>
                    <w:left w:val="none" w:sz="0" w:space="0" w:color="auto"/>
                    <w:bottom w:val="none" w:sz="0" w:space="0" w:color="auto"/>
                    <w:right w:val="none" w:sz="0" w:space="0" w:color="auto"/>
                  </w:divBdr>
                  <w:divsChild>
                    <w:div w:id="4962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6366">
      <w:bodyDiv w:val="1"/>
      <w:marLeft w:val="0"/>
      <w:marRight w:val="0"/>
      <w:marTop w:val="0"/>
      <w:marBottom w:val="0"/>
      <w:divBdr>
        <w:top w:val="none" w:sz="0" w:space="0" w:color="auto"/>
        <w:left w:val="none" w:sz="0" w:space="0" w:color="auto"/>
        <w:bottom w:val="none" w:sz="0" w:space="0" w:color="auto"/>
        <w:right w:val="none" w:sz="0" w:space="0" w:color="auto"/>
      </w:divBdr>
    </w:div>
    <w:div w:id="702245485">
      <w:bodyDiv w:val="1"/>
      <w:marLeft w:val="0"/>
      <w:marRight w:val="0"/>
      <w:marTop w:val="0"/>
      <w:marBottom w:val="0"/>
      <w:divBdr>
        <w:top w:val="none" w:sz="0" w:space="0" w:color="auto"/>
        <w:left w:val="none" w:sz="0" w:space="0" w:color="auto"/>
        <w:bottom w:val="none" w:sz="0" w:space="0" w:color="auto"/>
        <w:right w:val="none" w:sz="0" w:space="0" w:color="auto"/>
      </w:divBdr>
    </w:div>
    <w:div w:id="710961310">
      <w:bodyDiv w:val="1"/>
      <w:marLeft w:val="0"/>
      <w:marRight w:val="0"/>
      <w:marTop w:val="0"/>
      <w:marBottom w:val="0"/>
      <w:divBdr>
        <w:top w:val="none" w:sz="0" w:space="0" w:color="auto"/>
        <w:left w:val="none" w:sz="0" w:space="0" w:color="auto"/>
        <w:bottom w:val="none" w:sz="0" w:space="0" w:color="auto"/>
        <w:right w:val="none" w:sz="0" w:space="0" w:color="auto"/>
      </w:divBdr>
    </w:div>
    <w:div w:id="748045232">
      <w:bodyDiv w:val="1"/>
      <w:marLeft w:val="0"/>
      <w:marRight w:val="0"/>
      <w:marTop w:val="0"/>
      <w:marBottom w:val="0"/>
      <w:divBdr>
        <w:top w:val="none" w:sz="0" w:space="0" w:color="auto"/>
        <w:left w:val="none" w:sz="0" w:space="0" w:color="auto"/>
        <w:bottom w:val="none" w:sz="0" w:space="0" w:color="auto"/>
        <w:right w:val="none" w:sz="0" w:space="0" w:color="auto"/>
      </w:divBdr>
    </w:div>
    <w:div w:id="750003807">
      <w:bodyDiv w:val="1"/>
      <w:marLeft w:val="0"/>
      <w:marRight w:val="0"/>
      <w:marTop w:val="0"/>
      <w:marBottom w:val="0"/>
      <w:divBdr>
        <w:top w:val="none" w:sz="0" w:space="0" w:color="auto"/>
        <w:left w:val="none" w:sz="0" w:space="0" w:color="auto"/>
        <w:bottom w:val="none" w:sz="0" w:space="0" w:color="auto"/>
        <w:right w:val="none" w:sz="0" w:space="0" w:color="auto"/>
      </w:divBdr>
    </w:div>
    <w:div w:id="834295603">
      <w:bodyDiv w:val="1"/>
      <w:marLeft w:val="0"/>
      <w:marRight w:val="0"/>
      <w:marTop w:val="0"/>
      <w:marBottom w:val="0"/>
      <w:divBdr>
        <w:top w:val="none" w:sz="0" w:space="0" w:color="auto"/>
        <w:left w:val="none" w:sz="0" w:space="0" w:color="auto"/>
        <w:bottom w:val="none" w:sz="0" w:space="0" w:color="auto"/>
        <w:right w:val="none" w:sz="0" w:space="0" w:color="auto"/>
      </w:divBdr>
      <w:divsChild>
        <w:div w:id="1478768258">
          <w:marLeft w:val="446"/>
          <w:marRight w:val="0"/>
          <w:marTop w:val="0"/>
          <w:marBottom w:val="0"/>
          <w:divBdr>
            <w:top w:val="none" w:sz="0" w:space="0" w:color="auto"/>
            <w:left w:val="none" w:sz="0" w:space="0" w:color="auto"/>
            <w:bottom w:val="none" w:sz="0" w:space="0" w:color="auto"/>
            <w:right w:val="none" w:sz="0" w:space="0" w:color="auto"/>
          </w:divBdr>
        </w:div>
        <w:div w:id="1847281794">
          <w:marLeft w:val="446"/>
          <w:marRight w:val="0"/>
          <w:marTop w:val="0"/>
          <w:marBottom w:val="0"/>
          <w:divBdr>
            <w:top w:val="none" w:sz="0" w:space="0" w:color="auto"/>
            <w:left w:val="none" w:sz="0" w:space="0" w:color="auto"/>
            <w:bottom w:val="none" w:sz="0" w:space="0" w:color="auto"/>
            <w:right w:val="none" w:sz="0" w:space="0" w:color="auto"/>
          </w:divBdr>
        </w:div>
      </w:divsChild>
    </w:div>
    <w:div w:id="848174121">
      <w:bodyDiv w:val="1"/>
      <w:marLeft w:val="0"/>
      <w:marRight w:val="0"/>
      <w:marTop w:val="0"/>
      <w:marBottom w:val="0"/>
      <w:divBdr>
        <w:top w:val="none" w:sz="0" w:space="0" w:color="auto"/>
        <w:left w:val="none" w:sz="0" w:space="0" w:color="auto"/>
        <w:bottom w:val="none" w:sz="0" w:space="0" w:color="auto"/>
        <w:right w:val="none" w:sz="0" w:space="0" w:color="auto"/>
      </w:divBdr>
    </w:div>
    <w:div w:id="938368553">
      <w:bodyDiv w:val="1"/>
      <w:marLeft w:val="0"/>
      <w:marRight w:val="0"/>
      <w:marTop w:val="0"/>
      <w:marBottom w:val="0"/>
      <w:divBdr>
        <w:top w:val="none" w:sz="0" w:space="0" w:color="auto"/>
        <w:left w:val="none" w:sz="0" w:space="0" w:color="auto"/>
        <w:bottom w:val="none" w:sz="0" w:space="0" w:color="auto"/>
        <w:right w:val="none" w:sz="0" w:space="0" w:color="auto"/>
      </w:divBdr>
    </w:div>
    <w:div w:id="954483669">
      <w:bodyDiv w:val="1"/>
      <w:marLeft w:val="0"/>
      <w:marRight w:val="0"/>
      <w:marTop w:val="0"/>
      <w:marBottom w:val="0"/>
      <w:divBdr>
        <w:top w:val="none" w:sz="0" w:space="0" w:color="auto"/>
        <w:left w:val="none" w:sz="0" w:space="0" w:color="auto"/>
        <w:bottom w:val="none" w:sz="0" w:space="0" w:color="auto"/>
        <w:right w:val="none" w:sz="0" w:space="0" w:color="auto"/>
      </w:divBdr>
    </w:div>
    <w:div w:id="960499510">
      <w:bodyDiv w:val="1"/>
      <w:marLeft w:val="0"/>
      <w:marRight w:val="0"/>
      <w:marTop w:val="0"/>
      <w:marBottom w:val="0"/>
      <w:divBdr>
        <w:top w:val="none" w:sz="0" w:space="0" w:color="auto"/>
        <w:left w:val="none" w:sz="0" w:space="0" w:color="auto"/>
        <w:bottom w:val="none" w:sz="0" w:space="0" w:color="auto"/>
        <w:right w:val="none" w:sz="0" w:space="0" w:color="auto"/>
      </w:divBdr>
    </w:div>
    <w:div w:id="960963805">
      <w:bodyDiv w:val="1"/>
      <w:marLeft w:val="0"/>
      <w:marRight w:val="0"/>
      <w:marTop w:val="0"/>
      <w:marBottom w:val="0"/>
      <w:divBdr>
        <w:top w:val="none" w:sz="0" w:space="0" w:color="auto"/>
        <w:left w:val="none" w:sz="0" w:space="0" w:color="auto"/>
        <w:bottom w:val="none" w:sz="0" w:space="0" w:color="auto"/>
        <w:right w:val="none" w:sz="0" w:space="0" w:color="auto"/>
      </w:divBdr>
    </w:div>
    <w:div w:id="966199444">
      <w:bodyDiv w:val="1"/>
      <w:marLeft w:val="0"/>
      <w:marRight w:val="0"/>
      <w:marTop w:val="0"/>
      <w:marBottom w:val="0"/>
      <w:divBdr>
        <w:top w:val="none" w:sz="0" w:space="0" w:color="auto"/>
        <w:left w:val="none" w:sz="0" w:space="0" w:color="auto"/>
        <w:bottom w:val="none" w:sz="0" w:space="0" w:color="auto"/>
        <w:right w:val="none" w:sz="0" w:space="0" w:color="auto"/>
      </w:divBdr>
    </w:div>
    <w:div w:id="971325871">
      <w:bodyDiv w:val="1"/>
      <w:marLeft w:val="0"/>
      <w:marRight w:val="0"/>
      <w:marTop w:val="0"/>
      <w:marBottom w:val="0"/>
      <w:divBdr>
        <w:top w:val="none" w:sz="0" w:space="0" w:color="auto"/>
        <w:left w:val="none" w:sz="0" w:space="0" w:color="auto"/>
        <w:bottom w:val="none" w:sz="0" w:space="0" w:color="auto"/>
        <w:right w:val="none" w:sz="0" w:space="0" w:color="auto"/>
      </w:divBdr>
      <w:divsChild>
        <w:div w:id="71396407">
          <w:marLeft w:val="446"/>
          <w:marRight w:val="0"/>
          <w:marTop w:val="0"/>
          <w:marBottom w:val="0"/>
          <w:divBdr>
            <w:top w:val="none" w:sz="0" w:space="0" w:color="auto"/>
            <w:left w:val="none" w:sz="0" w:space="0" w:color="auto"/>
            <w:bottom w:val="none" w:sz="0" w:space="0" w:color="auto"/>
            <w:right w:val="none" w:sz="0" w:space="0" w:color="auto"/>
          </w:divBdr>
        </w:div>
        <w:div w:id="151260530">
          <w:marLeft w:val="446"/>
          <w:marRight w:val="0"/>
          <w:marTop w:val="0"/>
          <w:marBottom w:val="0"/>
          <w:divBdr>
            <w:top w:val="none" w:sz="0" w:space="0" w:color="auto"/>
            <w:left w:val="none" w:sz="0" w:space="0" w:color="auto"/>
            <w:bottom w:val="none" w:sz="0" w:space="0" w:color="auto"/>
            <w:right w:val="none" w:sz="0" w:space="0" w:color="auto"/>
          </w:divBdr>
        </w:div>
        <w:div w:id="726034756">
          <w:marLeft w:val="446"/>
          <w:marRight w:val="0"/>
          <w:marTop w:val="0"/>
          <w:marBottom w:val="0"/>
          <w:divBdr>
            <w:top w:val="none" w:sz="0" w:space="0" w:color="auto"/>
            <w:left w:val="none" w:sz="0" w:space="0" w:color="auto"/>
            <w:bottom w:val="none" w:sz="0" w:space="0" w:color="auto"/>
            <w:right w:val="none" w:sz="0" w:space="0" w:color="auto"/>
          </w:divBdr>
        </w:div>
        <w:div w:id="735934290">
          <w:marLeft w:val="1166"/>
          <w:marRight w:val="0"/>
          <w:marTop w:val="0"/>
          <w:marBottom w:val="0"/>
          <w:divBdr>
            <w:top w:val="none" w:sz="0" w:space="0" w:color="auto"/>
            <w:left w:val="none" w:sz="0" w:space="0" w:color="auto"/>
            <w:bottom w:val="none" w:sz="0" w:space="0" w:color="auto"/>
            <w:right w:val="none" w:sz="0" w:space="0" w:color="auto"/>
          </w:divBdr>
        </w:div>
        <w:div w:id="879053367">
          <w:marLeft w:val="446"/>
          <w:marRight w:val="0"/>
          <w:marTop w:val="0"/>
          <w:marBottom w:val="0"/>
          <w:divBdr>
            <w:top w:val="none" w:sz="0" w:space="0" w:color="auto"/>
            <w:left w:val="none" w:sz="0" w:space="0" w:color="auto"/>
            <w:bottom w:val="none" w:sz="0" w:space="0" w:color="auto"/>
            <w:right w:val="none" w:sz="0" w:space="0" w:color="auto"/>
          </w:divBdr>
        </w:div>
        <w:div w:id="1045593648">
          <w:marLeft w:val="446"/>
          <w:marRight w:val="0"/>
          <w:marTop w:val="0"/>
          <w:marBottom w:val="0"/>
          <w:divBdr>
            <w:top w:val="none" w:sz="0" w:space="0" w:color="auto"/>
            <w:left w:val="none" w:sz="0" w:space="0" w:color="auto"/>
            <w:bottom w:val="none" w:sz="0" w:space="0" w:color="auto"/>
            <w:right w:val="none" w:sz="0" w:space="0" w:color="auto"/>
          </w:divBdr>
        </w:div>
        <w:div w:id="1174615257">
          <w:marLeft w:val="446"/>
          <w:marRight w:val="0"/>
          <w:marTop w:val="0"/>
          <w:marBottom w:val="0"/>
          <w:divBdr>
            <w:top w:val="none" w:sz="0" w:space="0" w:color="auto"/>
            <w:left w:val="none" w:sz="0" w:space="0" w:color="auto"/>
            <w:bottom w:val="none" w:sz="0" w:space="0" w:color="auto"/>
            <w:right w:val="none" w:sz="0" w:space="0" w:color="auto"/>
          </w:divBdr>
        </w:div>
        <w:div w:id="1291982013">
          <w:marLeft w:val="446"/>
          <w:marRight w:val="0"/>
          <w:marTop w:val="0"/>
          <w:marBottom w:val="0"/>
          <w:divBdr>
            <w:top w:val="none" w:sz="0" w:space="0" w:color="auto"/>
            <w:left w:val="none" w:sz="0" w:space="0" w:color="auto"/>
            <w:bottom w:val="none" w:sz="0" w:space="0" w:color="auto"/>
            <w:right w:val="none" w:sz="0" w:space="0" w:color="auto"/>
          </w:divBdr>
        </w:div>
        <w:div w:id="1447432248">
          <w:marLeft w:val="446"/>
          <w:marRight w:val="0"/>
          <w:marTop w:val="0"/>
          <w:marBottom w:val="0"/>
          <w:divBdr>
            <w:top w:val="none" w:sz="0" w:space="0" w:color="auto"/>
            <w:left w:val="none" w:sz="0" w:space="0" w:color="auto"/>
            <w:bottom w:val="none" w:sz="0" w:space="0" w:color="auto"/>
            <w:right w:val="none" w:sz="0" w:space="0" w:color="auto"/>
          </w:divBdr>
        </w:div>
        <w:div w:id="1589075219">
          <w:marLeft w:val="446"/>
          <w:marRight w:val="0"/>
          <w:marTop w:val="0"/>
          <w:marBottom w:val="0"/>
          <w:divBdr>
            <w:top w:val="none" w:sz="0" w:space="0" w:color="auto"/>
            <w:left w:val="none" w:sz="0" w:space="0" w:color="auto"/>
            <w:bottom w:val="none" w:sz="0" w:space="0" w:color="auto"/>
            <w:right w:val="none" w:sz="0" w:space="0" w:color="auto"/>
          </w:divBdr>
        </w:div>
        <w:div w:id="2035955993">
          <w:marLeft w:val="1166"/>
          <w:marRight w:val="0"/>
          <w:marTop w:val="0"/>
          <w:marBottom w:val="0"/>
          <w:divBdr>
            <w:top w:val="none" w:sz="0" w:space="0" w:color="auto"/>
            <w:left w:val="none" w:sz="0" w:space="0" w:color="auto"/>
            <w:bottom w:val="none" w:sz="0" w:space="0" w:color="auto"/>
            <w:right w:val="none" w:sz="0" w:space="0" w:color="auto"/>
          </w:divBdr>
        </w:div>
      </w:divsChild>
    </w:div>
    <w:div w:id="979337117">
      <w:bodyDiv w:val="1"/>
      <w:marLeft w:val="0"/>
      <w:marRight w:val="0"/>
      <w:marTop w:val="0"/>
      <w:marBottom w:val="0"/>
      <w:divBdr>
        <w:top w:val="none" w:sz="0" w:space="0" w:color="auto"/>
        <w:left w:val="none" w:sz="0" w:space="0" w:color="auto"/>
        <w:bottom w:val="none" w:sz="0" w:space="0" w:color="auto"/>
        <w:right w:val="none" w:sz="0" w:space="0" w:color="auto"/>
      </w:divBdr>
    </w:div>
    <w:div w:id="1010716563">
      <w:bodyDiv w:val="1"/>
      <w:marLeft w:val="0"/>
      <w:marRight w:val="0"/>
      <w:marTop w:val="0"/>
      <w:marBottom w:val="0"/>
      <w:divBdr>
        <w:top w:val="none" w:sz="0" w:space="0" w:color="auto"/>
        <w:left w:val="none" w:sz="0" w:space="0" w:color="auto"/>
        <w:bottom w:val="none" w:sz="0" w:space="0" w:color="auto"/>
        <w:right w:val="none" w:sz="0" w:space="0" w:color="auto"/>
      </w:divBdr>
    </w:div>
    <w:div w:id="1037042859">
      <w:bodyDiv w:val="1"/>
      <w:marLeft w:val="0"/>
      <w:marRight w:val="0"/>
      <w:marTop w:val="0"/>
      <w:marBottom w:val="0"/>
      <w:divBdr>
        <w:top w:val="none" w:sz="0" w:space="0" w:color="auto"/>
        <w:left w:val="none" w:sz="0" w:space="0" w:color="auto"/>
        <w:bottom w:val="none" w:sz="0" w:space="0" w:color="auto"/>
        <w:right w:val="none" w:sz="0" w:space="0" w:color="auto"/>
      </w:divBdr>
      <w:divsChild>
        <w:div w:id="323821524">
          <w:marLeft w:val="446"/>
          <w:marRight w:val="0"/>
          <w:marTop w:val="0"/>
          <w:marBottom w:val="0"/>
          <w:divBdr>
            <w:top w:val="none" w:sz="0" w:space="0" w:color="auto"/>
            <w:left w:val="none" w:sz="0" w:space="0" w:color="auto"/>
            <w:bottom w:val="none" w:sz="0" w:space="0" w:color="auto"/>
            <w:right w:val="none" w:sz="0" w:space="0" w:color="auto"/>
          </w:divBdr>
        </w:div>
        <w:div w:id="1030641685">
          <w:marLeft w:val="446"/>
          <w:marRight w:val="0"/>
          <w:marTop w:val="0"/>
          <w:marBottom w:val="0"/>
          <w:divBdr>
            <w:top w:val="none" w:sz="0" w:space="0" w:color="auto"/>
            <w:left w:val="none" w:sz="0" w:space="0" w:color="auto"/>
            <w:bottom w:val="none" w:sz="0" w:space="0" w:color="auto"/>
            <w:right w:val="none" w:sz="0" w:space="0" w:color="auto"/>
          </w:divBdr>
        </w:div>
      </w:divsChild>
    </w:div>
    <w:div w:id="1040740205">
      <w:bodyDiv w:val="1"/>
      <w:marLeft w:val="0"/>
      <w:marRight w:val="0"/>
      <w:marTop w:val="0"/>
      <w:marBottom w:val="0"/>
      <w:divBdr>
        <w:top w:val="none" w:sz="0" w:space="0" w:color="auto"/>
        <w:left w:val="none" w:sz="0" w:space="0" w:color="auto"/>
        <w:bottom w:val="none" w:sz="0" w:space="0" w:color="auto"/>
        <w:right w:val="none" w:sz="0" w:space="0" w:color="auto"/>
      </w:divBdr>
      <w:divsChild>
        <w:div w:id="890725488">
          <w:marLeft w:val="0"/>
          <w:marRight w:val="0"/>
          <w:marTop w:val="0"/>
          <w:marBottom w:val="0"/>
          <w:divBdr>
            <w:top w:val="none" w:sz="0" w:space="0" w:color="auto"/>
            <w:left w:val="none" w:sz="0" w:space="0" w:color="auto"/>
            <w:bottom w:val="none" w:sz="0" w:space="0" w:color="auto"/>
            <w:right w:val="none" w:sz="0" w:space="0" w:color="auto"/>
          </w:divBdr>
        </w:div>
      </w:divsChild>
    </w:div>
    <w:div w:id="1066994821">
      <w:bodyDiv w:val="1"/>
      <w:marLeft w:val="0"/>
      <w:marRight w:val="0"/>
      <w:marTop w:val="0"/>
      <w:marBottom w:val="0"/>
      <w:divBdr>
        <w:top w:val="none" w:sz="0" w:space="0" w:color="auto"/>
        <w:left w:val="none" w:sz="0" w:space="0" w:color="auto"/>
        <w:bottom w:val="none" w:sz="0" w:space="0" w:color="auto"/>
        <w:right w:val="none" w:sz="0" w:space="0" w:color="auto"/>
      </w:divBdr>
    </w:div>
    <w:div w:id="1089546080">
      <w:bodyDiv w:val="1"/>
      <w:marLeft w:val="0"/>
      <w:marRight w:val="0"/>
      <w:marTop w:val="0"/>
      <w:marBottom w:val="0"/>
      <w:divBdr>
        <w:top w:val="none" w:sz="0" w:space="0" w:color="auto"/>
        <w:left w:val="none" w:sz="0" w:space="0" w:color="auto"/>
        <w:bottom w:val="none" w:sz="0" w:space="0" w:color="auto"/>
        <w:right w:val="none" w:sz="0" w:space="0" w:color="auto"/>
      </w:divBdr>
    </w:div>
    <w:div w:id="1139616838">
      <w:bodyDiv w:val="1"/>
      <w:marLeft w:val="0"/>
      <w:marRight w:val="0"/>
      <w:marTop w:val="0"/>
      <w:marBottom w:val="0"/>
      <w:divBdr>
        <w:top w:val="none" w:sz="0" w:space="0" w:color="auto"/>
        <w:left w:val="none" w:sz="0" w:space="0" w:color="auto"/>
        <w:bottom w:val="none" w:sz="0" w:space="0" w:color="auto"/>
        <w:right w:val="none" w:sz="0" w:space="0" w:color="auto"/>
      </w:divBdr>
    </w:div>
    <w:div w:id="1139879895">
      <w:bodyDiv w:val="1"/>
      <w:marLeft w:val="0"/>
      <w:marRight w:val="0"/>
      <w:marTop w:val="0"/>
      <w:marBottom w:val="0"/>
      <w:divBdr>
        <w:top w:val="none" w:sz="0" w:space="0" w:color="auto"/>
        <w:left w:val="none" w:sz="0" w:space="0" w:color="auto"/>
        <w:bottom w:val="none" w:sz="0" w:space="0" w:color="auto"/>
        <w:right w:val="none" w:sz="0" w:space="0" w:color="auto"/>
      </w:divBdr>
      <w:divsChild>
        <w:div w:id="664625711">
          <w:marLeft w:val="0"/>
          <w:marRight w:val="0"/>
          <w:marTop w:val="0"/>
          <w:marBottom w:val="0"/>
          <w:divBdr>
            <w:top w:val="none" w:sz="0" w:space="0" w:color="auto"/>
            <w:left w:val="none" w:sz="0" w:space="0" w:color="auto"/>
            <w:bottom w:val="none" w:sz="0" w:space="0" w:color="auto"/>
            <w:right w:val="none" w:sz="0" w:space="0" w:color="auto"/>
          </w:divBdr>
          <w:divsChild>
            <w:div w:id="226764011">
              <w:marLeft w:val="0"/>
              <w:marRight w:val="0"/>
              <w:marTop w:val="0"/>
              <w:marBottom w:val="0"/>
              <w:divBdr>
                <w:top w:val="none" w:sz="0" w:space="0" w:color="auto"/>
                <w:left w:val="none" w:sz="0" w:space="0" w:color="auto"/>
                <w:bottom w:val="none" w:sz="0" w:space="0" w:color="auto"/>
                <w:right w:val="none" w:sz="0" w:space="0" w:color="auto"/>
              </w:divBdr>
            </w:div>
            <w:div w:id="420640917">
              <w:blockQuote w:val="1"/>
              <w:marLeft w:val="600"/>
              <w:marRight w:val="0"/>
              <w:marTop w:val="0"/>
              <w:marBottom w:val="0"/>
              <w:divBdr>
                <w:top w:val="none" w:sz="0" w:space="0" w:color="auto"/>
                <w:left w:val="none" w:sz="0" w:space="0" w:color="auto"/>
                <w:bottom w:val="none" w:sz="0" w:space="0" w:color="auto"/>
                <w:right w:val="none" w:sz="0" w:space="0" w:color="auto"/>
              </w:divBdr>
              <w:divsChild>
                <w:div w:id="103774053">
                  <w:marLeft w:val="0"/>
                  <w:marRight w:val="0"/>
                  <w:marTop w:val="0"/>
                  <w:marBottom w:val="0"/>
                  <w:divBdr>
                    <w:top w:val="none" w:sz="0" w:space="0" w:color="auto"/>
                    <w:left w:val="none" w:sz="0" w:space="0" w:color="auto"/>
                    <w:bottom w:val="none" w:sz="0" w:space="0" w:color="auto"/>
                    <w:right w:val="none" w:sz="0" w:space="0" w:color="auto"/>
                  </w:divBdr>
                </w:div>
                <w:div w:id="110708982">
                  <w:marLeft w:val="0"/>
                  <w:marRight w:val="0"/>
                  <w:marTop w:val="0"/>
                  <w:marBottom w:val="0"/>
                  <w:divBdr>
                    <w:top w:val="none" w:sz="0" w:space="0" w:color="auto"/>
                    <w:left w:val="none" w:sz="0" w:space="0" w:color="auto"/>
                    <w:bottom w:val="none" w:sz="0" w:space="0" w:color="auto"/>
                    <w:right w:val="none" w:sz="0" w:space="0" w:color="auto"/>
                  </w:divBdr>
                </w:div>
                <w:div w:id="190655921">
                  <w:marLeft w:val="0"/>
                  <w:marRight w:val="0"/>
                  <w:marTop w:val="0"/>
                  <w:marBottom w:val="0"/>
                  <w:divBdr>
                    <w:top w:val="none" w:sz="0" w:space="0" w:color="auto"/>
                    <w:left w:val="none" w:sz="0" w:space="0" w:color="auto"/>
                    <w:bottom w:val="none" w:sz="0" w:space="0" w:color="auto"/>
                    <w:right w:val="none" w:sz="0" w:space="0" w:color="auto"/>
                  </w:divBdr>
                </w:div>
                <w:div w:id="338973926">
                  <w:marLeft w:val="0"/>
                  <w:marRight w:val="0"/>
                  <w:marTop w:val="0"/>
                  <w:marBottom w:val="0"/>
                  <w:divBdr>
                    <w:top w:val="none" w:sz="0" w:space="0" w:color="auto"/>
                    <w:left w:val="none" w:sz="0" w:space="0" w:color="auto"/>
                    <w:bottom w:val="none" w:sz="0" w:space="0" w:color="auto"/>
                    <w:right w:val="none" w:sz="0" w:space="0" w:color="auto"/>
                  </w:divBdr>
                </w:div>
                <w:div w:id="802428876">
                  <w:marLeft w:val="0"/>
                  <w:marRight w:val="0"/>
                  <w:marTop w:val="0"/>
                  <w:marBottom w:val="0"/>
                  <w:divBdr>
                    <w:top w:val="none" w:sz="0" w:space="0" w:color="auto"/>
                    <w:left w:val="none" w:sz="0" w:space="0" w:color="auto"/>
                    <w:bottom w:val="none" w:sz="0" w:space="0" w:color="auto"/>
                    <w:right w:val="none" w:sz="0" w:space="0" w:color="auto"/>
                  </w:divBdr>
                </w:div>
                <w:div w:id="177151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883864">
      <w:bodyDiv w:val="1"/>
      <w:marLeft w:val="0"/>
      <w:marRight w:val="0"/>
      <w:marTop w:val="0"/>
      <w:marBottom w:val="0"/>
      <w:divBdr>
        <w:top w:val="none" w:sz="0" w:space="0" w:color="auto"/>
        <w:left w:val="none" w:sz="0" w:space="0" w:color="auto"/>
        <w:bottom w:val="none" w:sz="0" w:space="0" w:color="auto"/>
        <w:right w:val="none" w:sz="0" w:space="0" w:color="auto"/>
      </w:divBdr>
    </w:div>
    <w:div w:id="1241671236">
      <w:bodyDiv w:val="1"/>
      <w:marLeft w:val="0"/>
      <w:marRight w:val="0"/>
      <w:marTop w:val="0"/>
      <w:marBottom w:val="0"/>
      <w:divBdr>
        <w:top w:val="none" w:sz="0" w:space="0" w:color="auto"/>
        <w:left w:val="none" w:sz="0" w:space="0" w:color="auto"/>
        <w:bottom w:val="none" w:sz="0" w:space="0" w:color="auto"/>
        <w:right w:val="none" w:sz="0" w:space="0" w:color="auto"/>
      </w:divBdr>
      <w:divsChild>
        <w:div w:id="157697494">
          <w:marLeft w:val="446"/>
          <w:marRight w:val="0"/>
          <w:marTop w:val="0"/>
          <w:marBottom w:val="0"/>
          <w:divBdr>
            <w:top w:val="none" w:sz="0" w:space="0" w:color="auto"/>
            <w:left w:val="none" w:sz="0" w:space="0" w:color="auto"/>
            <w:bottom w:val="none" w:sz="0" w:space="0" w:color="auto"/>
            <w:right w:val="none" w:sz="0" w:space="0" w:color="auto"/>
          </w:divBdr>
        </w:div>
        <w:div w:id="813643575">
          <w:marLeft w:val="446"/>
          <w:marRight w:val="0"/>
          <w:marTop w:val="0"/>
          <w:marBottom w:val="0"/>
          <w:divBdr>
            <w:top w:val="none" w:sz="0" w:space="0" w:color="auto"/>
            <w:left w:val="none" w:sz="0" w:space="0" w:color="auto"/>
            <w:bottom w:val="none" w:sz="0" w:space="0" w:color="auto"/>
            <w:right w:val="none" w:sz="0" w:space="0" w:color="auto"/>
          </w:divBdr>
        </w:div>
      </w:divsChild>
    </w:div>
    <w:div w:id="1257208868">
      <w:bodyDiv w:val="1"/>
      <w:marLeft w:val="0"/>
      <w:marRight w:val="0"/>
      <w:marTop w:val="0"/>
      <w:marBottom w:val="0"/>
      <w:divBdr>
        <w:top w:val="none" w:sz="0" w:space="0" w:color="auto"/>
        <w:left w:val="none" w:sz="0" w:space="0" w:color="auto"/>
        <w:bottom w:val="none" w:sz="0" w:space="0" w:color="auto"/>
        <w:right w:val="none" w:sz="0" w:space="0" w:color="auto"/>
      </w:divBdr>
    </w:div>
    <w:div w:id="1272780153">
      <w:bodyDiv w:val="1"/>
      <w:marLeft w:val="0"/>
      <w:marRight w:val="0"/>
      <w:marTop w:val="0"/>
      <w:marBottom w:val="0"/>
      <w:divBdr>
        <w:top w:val="none" w:sz="0" w:space="0" w:color="auto"/>
        <w:left w:val="none" w:sz="0" w:space="0" w:color="auto"/>
        <w:bottom w:val="none" w:sz="0" w:space="0" w:color="auto"/>
        <w:right w:val="none" w:sz="0" w:space="0" w:color="auto"/>
      </w:divBdr>
    </w:div>
    <w:div w:id="1280642348">
      <w:bodyDiv w:val="1"/>
      <w:marLeft w:val="0"/>
      <w:marRight w:val="0"/>
      <w:marTop w:val="0"/>
      <w:marBottom w:val="0"/>
      <w:divBdr>
        <w:top w:val="none" w:sz="0" w:space="0" w:color="auto"/>
        <w:left w:val="none" w:sz="0" w:space="0" w:color="auto"/>
        <w:bottom w:val="none" w:sz="0" w:space="0" w:color="auto"/>
        <w:right w:val="none" w:sz="0" w:space="0" w:color="auto"/>
      </w:divBdr>
    </w:div>
    <w:div w:id="1292708944">
      <w:bodyDiv w:val="1"/>
      <w:marLeft w:val="0"/>
      <w:marRight w:val="0"/>
      <w:marTop w:val="0"/>
      <w:marBottom w:val="0"/>
      <w:divBdr>
        <w:top w:val="none" w:sz="0" w:space="0" w:color="auto"/>
        <w:left w:val="none" w:sz="0" w:space="0" w:color="auto"/>
        <w:bottom w:val="none" w:sz="0" w:space="0" w:color="auto"/>
        <w:right w:val="none" w:sz="0" w:space="0" w:color="auto"/>
      </w:divBdr>
      <w:divsChild>
        <w:div w:id="66270127">
          <w:marLeft w:val="446"/>
          <w:marRight w:val="0"/>
          <w:marTop w:val="0"/>
          <w:marBottom w:val="0"/>
          <w:divBdr>
            <w:top w:val="none" w:sz="0" w:space="0" w:color="auto"/>
            <w:left w:val="none" w:sz="0" w:space="0" w:color="auto"/>
            <w:bottom w:val="none" w:sz="0" w:space="0" w:color="auto"/>
            <w:right w:val="none" w:sz="0" w:space="0" w:color="auto"/>
          </w:divBdr>
        </w:div>
        <w:div w:id="1177159856">
          <w:marLeft w:val="446"/>
          <w:marRight w:val="0"/>
          <w:marTop w:val="0"/>
          <w:marBottom w:val="0"/>
          <w:divBdr>
            <w:top w:val="none" w:sz="0" w:space="0" w:color="auto"/>
            <w:left w:val="none" w:sz="0" w:space="0" w:color="auto"/>
            <w:bottom w:val="none" w:sz="0" w:space="0" w:color="auto"/>
            <w:right w:val="none" w:sz="0" w:space="0" w:color="auto"/>
          </w:divBdr>
        </w:div>
        <w:div w:id="1319848809">
          <w:marLeft w:val="446"/>
          <w:marRight w:val="0"/>
          <w:marTop w:val="0"/>
          <w:marBottom w:val="0"/>
          <w:divBdr>
            <w:top w:val="none" w:sz="0" w:space="0" w:color="auto"/>
            <w:left w:val="none" w:sz="0" w:space="0" w:color="auto"/>
            <w:bottom w:val="none" w:sz="0" w:space="0" w:color="auto"/>
            <w:right w:val="none" w:sz="0" w:space="0" w:color="auto"/>
          </w:divBdr>
        </w:div>
        <w:div w:id="1423913690">
          <w:marLeft w:val="446"/>
          <w:marRight w:val="0"/>
          <w:marTop w:val="0"/>
          <w:marBottom w:val="0"/>
          <w:divBdr>
            <w:top w:val="none" w:sz="0" w:space="0" w:color="auto"/>
            <w:left w:val="none" w:sz="0" w:space="0" w:color="auto"/>
            <w:bottom w:val="none" w:sz="0" w:space="0" w:color="auto"/>
            <w:right w:val="none" w:sz="0" w:space="0" w:color="auto"/>
          </w:divBdr>
        </w:div>
      </w:divsChild>
    </w:div>
    <w:div w:id="1306664363">
      <w:bodyDiv w:val="1"/>
      <w:marLeft w:val="0"/>
      <w:marRight w:val="0"/>
      <w:marTop w:val="0"/>
      <w:marBottom w:val="0"/>
      <w:divBdr>
        <w:top w:val="none" w:sz="0" w:space="0" w:color="auto"/>
        <w:left w:val="none" w:sz="0" w:space="0" w:color="auto"/>
        <w:bottom w:val="none" w:sz="0" w:space="0" w:color="auto"/>
        <w:right w:val="none" w:sz="0" w:space="0" w:color="auto"/>
      </w:divBdr>
      <w:divsChild>
        <w:div w:id="1025054436">
          <w:marLeft w:val="446"/>
          <w:marRight w:val="0"/>
          <w:marTop w:val="0"/>
          <w:marBottom w:val="0"/>
          <w:divBdr>
            <w:top w:val="none" w:sz="0" w:space="0" w:color="auto"/>
            <w:left w:val="none" w:sz="0" w:space="0" w:color="auto"/>
            <w:bottom w:val="none" w:sz="0" w:space="0" w:color="auto"/>
            <w:right w:val="none" w:sz="0" w:space="0" w:color="auto"/>
          </w:divBdr>
        </w:div>
        <w:div w:id="1891720914">
          <w:marLeft w:val="446"/>
          <w:marRight w:val="0"/>
          <w:marTop w:val="0"/>
          <w:marBottom w:val="0"/>
          <w:divBdr>
            <w:top w:val="none" w:sz="0" w:space="0" w:color="auto"/>
            <w:left w:val="none" w:sz="0" w:space="0" w:color="auto"/>
            <w:bottom w:val="none" w:sz="0" w:space="0" w:color="auto"/>
            <w:right w:val="none" w:sz="0" w:space="0" w:color="auto"/>
          </w:divBdr>
        </w:div>
      </w:divsChild>
    </w:div>
    <w:div w:id="1443526637">
      <w:bodyDiv w:val="1"/>
      <w:marLeft w:val="0"/>
      <w:marRight w:val="0"/>
      <w:marTop w:val="0"/>
      <w:marBottom w:val="0"/>
      <w:divBdr>
        <w:top w:val="none" w:sz="0" w:space="0" w:color="auto"/>
        <w:left w:val="none" w:sz="0" w:space="0" w:color="auto"/>
        <w:bottom w:val="none" w:sz="0" w:space="0" w:color="auto"/>
        <w:right w:val="none" w:sz="0" w:space="0" w:color="auto"/>
      </w:divBdr>
    </w:div>
    <w:div w:id="1450509253">
      <w:bodyDiv w:val="1"/>
      <w:marLeft w:val="0"/>
      <w:marRight w:val="0"/>
      <w:marTop w:val="0"/>
      <w:marBottom w:val="0"/>
      <w:divBdr>
        <w:top w:val="none" w:sz="0" w:space="0" w:color="auto"/>
        <w:left w:val="none" w:sz="0" w:space="0" w:color="auto"/>
        <w:bottom w:val="none" w:sz="0" w:space="0" w:color="auto"/>
        <w:right w:val="none" w:sz="0" w:space="0" w:color="auto"/>
      </w:divBdr>
      <w:divsChild>
        <w:div w:id="1387102106">
          <w:marLeft w:val="0"/>
          <w:marRight w:val="0"/>
          <w:marTop w:val="0"/>
          <w:marBottom w:val="0"/>
          <w:divBdr>
            <w:top w:val="none" w:sz="0" w:space="0" w:color="auto"/>
            <w:left w:val="none" w:sz="0" w:space="0" w:color="auto"/>
            <w:bottom w:val="none" w:sz="0" w:space="0" w:color="auto"/>
            <w:right w:val="none" w:sz="0" w:space="0" w:color="auto"/>
          </w:divBdr>
        </w:div>
      </w:divsChild>
    </w:div>
    <w:div w:id="1484859234">
      <w:bodyDiv w:val="1"/>
      <w:marLeft w:val="0"/>
      <w:marRight w:val="0"/>
      <w:marTop w:val="0"/>
      <w:marBottom w:val="0"/>
      <w:divBdr>
        <w:top w:val="none" w:sz="0" w:space="0" w:color="auto"/>
        <w:left w:val="none" w:sz="0" w:space="0" w:color="auto"/>
        <w:bottom w:val="none" w:sz="0" w:space="0" w:color="auto"/>
        <w:right w:val="none" w:sz="0" w:space="0" w:color="auto"/>
      </w:divBdr>
      <w:divsChild>
        <w:div w:id="386684980">
          <w:marLeft w:val="446"/>
          <w:marRight w:val="0"/>
          <w:marTop w:val="0"/>
          <w:marBottom w:val="0"/>
          <w:divBdr>
            <w:top w:val="none" w:sz="0" w:space="0" w:color="auto"/>
            <w:left w:val="none" w:sz="0" w:space="0" w:color="auto"/>
            <w:bottom w:val="none" w:sz="0" w:space="0" w:color="auto"/>
            <w:right w:val="none" w:sz="0" w:space="0" w:color="auto"/>
          </w:divBdr>
        </w:div>
        <w:div w:id="457187561">
          <w:marLeft w:val="446"/>
          <w:marRight w:val="0"/>
          <w:marTop w:val="0"/>
          <w:marBottom w:val="0"/>
          <w:divBdr>
            <w:top w:val="none" w:sz="0" w:space="0" w:color="auto"/>
            <w:left w:val="none" w:sz="0" w:space="0" w:color="auto"/>
            <w:bottom w:val="none" w:sz="0" w:space="0" w:color="auto"/>
            <w:right w:val="none" w:sz="0" w:space="0" w:color="auto"/>
          </w:divBdr>
        </w:div>
        <w:div w:id="2057504098">
          <w:marLeft w:val="446"/>
          <w:marRight w:val="0"/>
          <w:marTop w:val="0"/>
          <w:marBottom w:val="0"/>
          <w:divBdr>
            <w:top w:val="none" w:sz="0" w:space="0" w:color="auto"/>
            <w:left w:val="none" w:sz="0" w:space="0" w:color="auto"/>
            <w:bottom w:val="none" w:sz="0" w:space="0" w:color="auto"/>
            <w:right w:val="none" w:sz="0" w:space="0" w:color="auto"/>
          </w:divBdr>
        </w:div>
      </w:divsChild>
    </w:div>
    <w:div w:id="1485507301">
      <w:bodyDiv w:val="1"/>
      <w:marLeft w:val="0"/>
      <w:marRight w:val="0"/>
      <w:marTop w:val="0"/>
      <w:marBottom w:val="0"/>
      <w:divBdr>
        <w:top w:val="none" w:sz="0" w:space="0" w:color="auto"/>
        <w:left w:val="none" w:sz="0" w:space="0" w:color="auto"/>
        <w:bottom w:val="none" w:sz="0" w:space="0" w:color="auto"/>
        <w:right w:val="none" w:sz="0" w:space="0" w:color="auto"/>
      </w:divBdr>
    </w:div>
    <w:div w:id="1526017977">
      <w:bodyDiv w:val="1"/>
      <w:marLeft w:val="0"/>
      <w:marRight w:val="0"/>
      <w:marTop w:val="0"/>
      <w:marBottom w:val="0"/>
      <w:divBdr>
        <w:top w:val="none" w:sz="0" w:space="0" w:color="auto"/>
        <w:left w:val="none" w:sz="0" w:space="0" w:color="auto"/>
        <w:bottom w:val="none" w:sz="0" w:space="0" w:color="auto"/>
        <w:right w:val="none" w:sz="0" w:space="0" w:color="auto"/>
      </w:divBdr>
    </w:div>
    <w:div w:id="1533764802">
      <w:bodyDiv w:val="1"/>
      <w:marLeft w:val="0"/>
      <w:marRight w:val="0"/>
      <w:marTop w:val="0"/>
      <w:marBottom w:val="0"/>
      <w:divBdr>
        <w:top w:val="none" w:sz="0" w:space="0" w:color="auto"/>
        <w:left w:val="none" w:sz="0" w:space="0" w:color="auto"/>
        <w:bottom w:val="none" w:sz="0" w:space="0" w:color="auto"/>
        <w:right w:val="none" w:sz="0" w:space="0" w:color="auto"/>
      </w:divBdr>
    </w:div>
    <w:div w:id="1556039326">
      <w:bodyDiv w:val="1"/>
      <w:marLeft w:val="0"/>
      <w:marRight w:val="0"/>
      <w:marTop w:val="0"/>
      <w:marBottom w:val="0"/>
      <w:divBdr>
        <w:top w:val="none" w:sz="0" w:space="0" w:color="auto"/>
        <w:left w:val="none" w:sz="0" w:space="0" w:color="auto"/>
        <w:bottom w:val="none" w:sz="0" w:space="0" w:color="auto"/>
        <w:right w:val="none" w:sz="0" w:space="0" w:color="auto"/>
      </w:divBdr>
    </w:div>
    <w:div w:id="1577740752">
      <w:bodyDiv w:val="1"/>
      <w:marLeft w:val="0"/>
      <w:marRight w:val="0"/>
      <w:marTop w:val="0"/>
      <w:marBottom w:val="0"/>
      <w:divBdr>
        <w:top w:val="none" w:sz="0" w:space="0" w:color="auto"/>
        <w:left w:val="none" w:sz="0" w:space="0" w:color="auto"/>
        <w:bottom w:val="none" w:sz="0" w:space="0" w:color="auto"/>
        <w:right w:val="none" w:sz="0" w:space="0" w:color="auto"/>
      </w:divBdr>
    </w:div>
    <w:div w:id="1593395207">
      <w:bodyDiv w:val="1"/>
      <w:marLeft w:val="0"/>
      <w:marRight w:val="0"/>
      <w:marTop w:val="0"/>
      <w:marBottom w:val="0"/>
      <w:divBdr>
        <w:top w:val="none" w:sz="0" w:space="0" w:color="auto"/>
        <w:left w:val="none" w:sz="0" w:space="0" w:color="auto"/>
        <w:bottom w:val="none" w:sz="0" w:space="0" w:color="auto"/>
        <w:right w:val="none" w:sz="0" w:space="0" w:color="auto"/>
      </w:divBdr>
      <w:divsChild>
        <w:div w:id="254825212">
          <w:marLeft w:val="0"/>
          <w:marRight w:val="0"/>
          <w:marTop w:val="0"/>
          <w:marBottom w:val="0"/>
          <w:divBdr>
            <w:top w:val="none" w:sz="0" w:space="0" w:color="auto"/>
            <w:left w:val="none" w:sz="0" w:space="0" w:color="auto"/>
            <w:bottom w:val="none" w:sz="0" w:space="0" w:color="auto"/>
            <w:right w:val="none" w:sz="0" w:space="0" w:color="auto"/>
          </w:divBdr>
        </w:div>
        <w:div w:id="717894545">
          <w:marLeft w:val="0"/>
          <w:marRight w:val="0"/>
          <w:marTop w:val="0"/>
          <w:marBottom w:val="0"/>
          <w:divBdr>
            <w:top w:val="none" w:sz="0" w:space="0" w:color="auto"/>
            <w:left w:val="none" w:sz="0" w:space="0" w:color="auto"/>
            <w:bottom w:val="none" w:sz="0" w:space="0" w:color="auto"/>
            <w:right w:val="none" w:sz="0" w:space="0" w:color="auto"/>
          </w:divBdr>
        </w:div>
      </w:divsChild>
    </w:div>
    <w:div w:id="1600677053">
      <w:bodyDiv w:val="1"/>
      <w:marLeft w:val="0"/>
      <w:marRight w:val="0"/>
      <w:marTop w:val="0"/>
      <w:marBottom w:val="0"/>
      <w:divBdr>
        <w:top w:val="none" w:sz="0" w:space="0" w:color="auto"/>
        <w:left w:val="none" w:sz="0" w:space="0" w:color="auto"/>
        <w:bottom w:val="none" w:sz="0" w:space="0" w:color="auto"/>
        <w:right w:val="none" w:sz="0" w:space="0" w:color="auto"/>
      </w:divBdr>
    </w:div>
    <w:div w:id="1615672105">
      <w:bodyDiv w:val="1"/>
      <w:marLeft w:val="0"/>
      <w:marRight w:val="0"/>
      <w:marTop w:val="0"/>
      <w:marBottom w:val="0"/>
      <w:divBdr>
        <w:top w:val="none" w:sz="0" w:space="0" w:color="auto"/>
        <w:left w:val="none" w:sz="0" w:space="0" w:color="auto"/>
        <w:bottom w:val="none" w:sz="0" w:space="0" w:color="auto"/>
        <w:right w:val="none" w:sz="0" w:space="0" w:color="auto"/>
      </w:divBdr>
    </w:div>
    <w:div w:id="1630554676">
      <w:bodyDiv w:val="1"/>
      <w:marLeft w:val="0"/>
      <w:marRight w:val="0"/>
      <w:marTop w:val="0"/>
      <w:marBottom w:val="0"/>
      <w:divBdr>
        <w:top w:val="none" w:sz="0" w:space="0" w:color="auto"/>
        <w:left w:val="none" w:sz="0" w:space="0" w:color="auto"/>
        <w:bottom w:val="none" w:sz="0" w:space="0" w:color="auto"/>
        <w:right w:val="none" w:sz="0" w:space="0" w:color="auto"/>
      </w:divBdr>
      <w:divsChild>
        <w:div w:id="1646427671">
          <w:marLeft w:val="547"/>
          <w:marRight w:val="0"/>
          <w:marTop w:val="0"/>
          <w:marBottom w:val="0"/>
          <w:divBdr>
            <w:top w:val="none" w:sz="0" w:space="0" w:color="auto"/>
            <w:left w:val="none" w:sz="0" w:space="0" w:color="auto"/>
            <w:bottom w:val="none" w:sz="0" w:space="0" w:color="auto"/>
            <w:right w:val="none" w:sz="0" w:space="0" w:color="auto"/>
          </w:divBdr>
        </w:div>
        <w:div w:id="1710496451">
          <w:marLeft w:val="547"/>
          <w:marRight w:val="0"/>
          <w:marTop w:val="0"/>
          <w:marBottom w:val="0"/>
          <w:divBdr>
            <w:top w:val="none" w:sz="0" w:space="0" w:color="auto"/>
            <w:left w:val="none" w:sz="0" w:space="0" w:color="auto"/>
            <w:bottom w:val="none" w:sz="0" w:space="0" w:color="auto"/>
            <w:right w:val="none" w:sz="0" w:space="0" w:color="auto"/>
          </w:divBdr>
        </w:div>
      </w:divsChild>
    </w:div>
    <w:div w:id="1652714707">
      <w:bodyDiv w:val="1"/>
      <w:marLeft w:val="0"/>
      <w:marRight w:val="0"/>
      <w:marTop w:val="0"/>
      <w:marBottom w:val="0"/>
      <w:divBdr>
        <w:top w:val="none" w:sz="0" w:space="0" w:color="auto"/>
        <w:left w:val="none" w:sz="0" w:space="0" w:color="auto"/>
        <w:bottom w:val="none" w:sz="0" w:space="0" w:color="auto"/>
        <w:right w:val="none" w:sz="0" w:space="0" w:color="auto"/>
      </w:divBdr>
    </w:div>
    <w:div w:id="1657370223">
      <w:bodyDiv w:val="1"/>
      <w:marLeft w:val="0"/>
      <w:marRight w:val="0"/>
      <w:marTop w:val="0"/>
      <w:marBottom w:val="0"/>
      <w:divBdr>
        <w:top w:val="none" w:sz="0" w:space="0" w:color="auto"/>
        <w:left w:val="none" w:sz="0" w:space="0" w:color="auto"/>
        <w:bottom w:val="none" w:sz="0" w:space="0" w:color="auto"/>
        <w:right w:val="none" w:sz="0" w:space="0" w:color="auto"/>
      </w:divBdr>
    </w:div>
    <w:div w:id="1662809035">
      <w:bodyDiv w:val="1"/>
      <w:marLeft w:val="0"/>
      <w:marRight w:val="0"/>
      <w:marTop w:val="0"/>
      <w:marBottom w:val="0"/>
      <w:divBdr>
        <w:top w:val="none" w:sz="0" w:space="0" w:color="auto"/>
        <w:left w:val="none" w:sz="0" w:space="0" w:color="auto"/>
        <w:bottom w:val="none" w:sz="0" w:space="0" w:color="auto"/>
        <w:right w:val="none" w:sz="0" w:space="0" w:color="auto"/>
      </w:divBdr>
      <w:divsChild>
        <w:div w:id="928272138">
          <w:marLeft w:val="0"/>
          <w:marRight w:val="0"/>
          <w:marTop w:val="240"/>
          <w:marBottom w:val="0"/>
          <w:divBdr>
            <w:top w:val="none" w:sz="0" w:space="0" w:color="auto"/>
            <w:left w:val="none" w:sz="0" w:space="0" w:color="auto"/>
            <w:bottom w:val="none" w:sz="0" w:space="0" w:color="auto"/>
            <w:right w:val="none" w:sz="0" w:space="0" w:color="auto"/>
          </w:divBdr>
        </w:div>
      </w:divsChild>
    </w:div>
    <w:div w:id="1717043311">
      <w:bodyDiv w:val="1"/>
      <w:marLeft w:val="0"/>
      <w:marRight w:val="0"/>
      <w:marTop w:val="0"/>
      <w:marBottom w:val="0"/>
      <w:divBdr>
        <w:top w:val="none" w:sz="0" w:space="0" w:color="auto"/>
        <w:left w:val="none" w:sz="0" w:space="0" w:color="auto"/>
        <w:bottom w:val="none" w:sz="0" w:space="0" w:color="auto"/>
        <w:right w:val="none" w:sz="0" w:space="0" w:color="auto"/>
      </w:divBdr>
    </w:div>
    <w:div w:id="1726292519">
      <w:bodyDiv w:val="1"/>
      <w:marLeft w:val="0"/>
      <w:marRight w:val="0"/>
      <w:marTop w:val="0"/>
      <w:marBottom w:val="0"/>
      <w:divBdr>
        <w:top w:val="none" w:sz="0" w:space="0" w:color="auto"/>
        <w:left w:val="none" w:sz="0" w:space="0" w:color="auto"/>
        <w:bottom w:val="none" w:sz="0" w:space="0" w:color="auto"/>
        <w:right w:val="none" w:sz="0" w:space="0" w:color="auto"/>
      </w:divBdr>
    </w:div>
    <w:div w:id="1851211963">
      <w:bodyDiv w:val="1"/>
      <w:marLeft w:val="0"/>
      <w:marRight w:val="0"/>
      <w:marTop w:val="0"/>
      <w:marBottom w:val="0"/>
      <w:divBdr>
        <w:top w:val="none" w:sz="0" w:space="0" w:color="auto"/>
        <w:left w:val="none" w:sz="0" w:space="0" w:color="auto"/>
        <w:bottom w:val="none" w:sz="0" w:space="0" w:color="auto"/>
        <w:right w:val="none" w:sz="0" w:space="0" w:color="auto"/>
      </w:divBdr>
    </w:div>
    <w:div w:id="1905484675">
      <w:bodyDiv w:val="1"/>
      <w:marLeft w:val="0"/>
      <w:marRight w:val="0"/>
      <w:marTop w:val="0"/>
      <w:marBottom w:val="0"/>
      <w:divBdr>
        <w:top w:val="none" w:sz="0" w:space="0" w:color="auto"/>
        <w:left w:val="none" w:sz="0" w:space="0" w:color="auto"/>
        <w:bottom w:val="none" w:sz="0" w:space="0" w:color="auto"/>
        <w:right w:val="none" w:sz="0" w:space="0" w:color="auto"/>
      </w:divBdr>
      <w:divsChild>
        <w:div w:id="974604456">
          <w:marLeft w:val="0"/>
          <w:marRight w:val="0"/>
          <w:marTop w:val="0"/>
          <w:marBottom w:val="0"/>
          <w:divBdr>
            <w:top w:val="none" w:sz="0" w:space="0" w:color="auto"/>
            <w:left w:val="none" w:sz="0" w:space="0" w:color="auto"/>
            <w:bottom w:val="none" w:sz="0" w:space="0" w:color="auto"/>
            <w:right w:val="none" w:sz="0" w:space="0" w:color="auto"/>
          </w:divBdr>
        </w:div>
        <w:div w:id="1805418071">
          <w:marLeft w:val="0"/>
          <w:marRight w:val="0"/>
          <w:marTop w:val="0"/>
          <w:marBottom w:val="0"/>
          <w:divBdr>
            <w:top w:val="none" w:sz="0" w:space="0" w:color="auto"/>
            <w:left w:val="none" w:sz="0" w:space="0" w:color="auto"/>
            <w:bottom w:val="none" w:sz="0" w:space="0" w:color="auto"/>
            <w:right w:val="none" w:sz="0" w:space="0" w:color="auto"/>
          </w:divBdr>
        </w:div>
        <w:div w:id="1805464499">
          <w:marLeft w:val="0"/>
          <w:marRight w:val="0"/>
          <w:marTop w:val="0"/>
          <w:marBottom w:val="0"/>
          <w:divBdr>
            <w:top w:val="none" w:sz="0" w:space="0" w:color="auto"/>
            <w:left w:val="none" w:sz="0" w:space="0" w:color="auto"/>
            <w:bottom w:val="none" w:sz="0" w:space="0" w:color="auto"/>
            <w:right w:val="none" w:sz="0" w:space="0" w:color="auto"/>
          </w:divBdr>
        </w:div>
        <w:div w:id="1943099485">
          <w:marLeft w:val="0"/>
          <w:marRight w:val="0"/>
          <w:marTop w:val="0"/>
          <w:marBottom w:val="0"/>
          <w:divBdr>
            <w:top w:val="none" w:sz="0" w:space="0" w:color="auto"/>
            <w:left w:val="none" w:sz="0" w:space="0" w:color="auto"/>
            <w:bottom w:val="none" w:sz="0" w:space="0" w:color="auto"/>
            <w:right w:val="none" w:sz="0" w:space="0" w:color="auto"/>
          </w:divBdr>
        </w:div>
        <w:div w:id="29763929">
          <w:marLeft w:val="0"/>
          <w:marRight w:val="0"/>
          <w:marTop w:val="0"/>
          <w:marBottom w:val="0"/>
          <w:divBdr>
            <w:top w:val="none" w:sz="0" w:space="0" w:color="auto"/>
            <w:left w:val="none" w:sz="0" w:space="0" w:color="auto"/>
            <w:bottom w:val="none" w:sz="0" w:space="0" w:color="auto"/>
            <w:right w:val="none" w:sz="0" w:space="0" w:color="auto"/>
          </w:divBdr>
        </w:div>
        <w:div w:id="1347633482">
          <w:marLeft w:val="0"/>
          <w:marRight w:val="0"/>
          <w:marTop w:val="0"/>
          <w:marBottom w:val="0"/>
          <w:divBdr>
            <w:top w:val="none" w:sz="0" w:space="0" w:color="auto"/>
            <w:left w:val="none" w:sz="0" w:space="0" w:color="auto"/>
            <w:bottom w:val="none" w:sz="0" w:space="0" w:color="auto"/>
            <w:right w:val="none" w:sz="0" w:space="0" w:color="auto"/>
          </w:divBdr>
        </w:div>
        <w:div w:id="1168515702">
          <w:marLeft w:val="0"/>
          <w:marRight w:val="0"/>
          <w:marTop w:val="0"/>
          <w:marBottom w:val="0"/>
          <w:divBdr>
            <w:top w:val="none" w:sz="0" w:space="0" w:color="auto"/>
            <w:left w:val="none" w:sz="0" w:space="0" w:color="auto"/>
            <w:bottom w:val="none" w:sz="0" w:space="0" w:color="auto"/>
            <w:right w:val="none" w:sz="0" w:space="0" w:color="auto"/>
          </w:divBdr>
        </w:div>
        <w:div w:id="560217443">
          <w:marLeft w:val="0"/>
          <w:marRight w:val="0"/>
          <w:marTop w:val="0"/>
          <w:marBottom w:val="0"/>
          <w:divBdr>
            <w:top w:val="none" w:sz="0" w:space="0" w:color="auto"/>
            <w:left w:val="none" w:sz="0" w:space="0" w:color="auto"/>
            <w:bottom w:val="none" w:sz="0" w:space="0" w:color="auto"/>
            <w:right w:val="none" w:sz="0" w:space="0" w:color="auto"/>
          </w:divBdr>
        </w:div>
        <w:div w:id="347565115">
          <w:marLeft w:val="0"/>
          <w:marRight w:val="0"/>
          <w:marTop w:val="0"/>
          <w:marBottom w:val="0"/>
          <w:divBdr>
            <w:top w:val="none" w:sz="0" w:space="0" w:color="auto"/>
            <w:left w:val="none" w:sz="0" w:space="0" w:color="auto"/>
            <w:bottom w:val="none" w:sz="0" w:space="0" w:color="auto"/>
            <w:right w:val="none" w:sz="0" w:space="0" w:color="auto"/>
          </w:divBdr>
        </w:div>
        <w:div w:id="1064523837">
          <w:marLeft w:val="0"/>
          <w:marRight w:val="0"/>
          <w:marTop w:val="0"/>
          <w:marBottom w:val="0"/>
          <w:divBdr>
            <w:top w:val="none" w:sz="0" w:space="0" w:color="auto"/>
            <w:left w:val="none" w:sz="0" w:space="0" w:color="auto"/>
            <w:bottom w:val="none" w:sz="0" w:space="0" w:color="auto"/>
            <w:right w:val="none" w:sz="0" w:space="0" w:color="auto"/>
          </w:divBdr>
        </w:div>
        <w:div w:id="873007200">
          <w:marLeft w:val="0"/>
          <w:marRight w:val="0"/>
          <w:marTop w:val="0"/>
          <w:marBottom w:val="0"/>
          <w:divBdr>
            <w:top w:val="none" w:sz="0" w:space="0" w:color="auto"/>
            <w:left w:val="none" w:sz="0" w:space="0" w:color="auto"/>
            <w:bottom w:val="none" w:sz="0" w:space="0" w:color="auto"/>
            <w:right w:val="none" w:sz="0" w:space="0" w:color="auto"/>
          </w:divBdr>
          <w:divsChild>
            <w:div w:id="1004816682">
              <w:marLeft w:val="0"/>
              <w:marRight w:val="0"/>
              <w:marTop w:val="0"/>
              <w:marBottom w:val="0"/>
              <w:divBdr>
                <w:top w:val="none" w:sz="0" w:space="0" w:color="auto"/>
                <w:left w:val="none" w:sz="0" w:space="0" w:color="auto"/>
                <w:bottom w:val="none" w:sz="0" w:space="0" w:color="auto"/>
                <w:right w:val="none" w:sz="0" w:space="0" w:color="auto"/>
              </w:divBdr>
            </w:div>
            <w:div w:id="1531838549">
              <w:marLeft w:val="0"/>
              <w:marRight w:val="0"/>
              <w:marTop w:val="0"/>
              <w:marBottom w:val="0"/>
              <w:divBdr>
                <w:top w:val="none" w:sz="0" w:space="0" w:color="auto"/>
                <w:left w:val="none" w:sz="0" w:space="0" w:color="auto"/>
                <w:bottom w:val="none" w:sz="0" w:space="0" w:color="auto"/>
                <w:right w:val="none" w:sz="0" w:space="0" w:color="auto"/>
              </w:divBdr>
            </w:div>
            <w:div w:id="1271475328">
              <w:marLeft w:val="0"/>
              <w:marRight w:val="0"/>
              <w:marTop w:val="0"/>
              <w:marBottom w:val="0"/>
              <w:divBdr>
                <w:top w:val="none" w:sz="0" w:space="0" w:color="auto"/>
                <w:left w:val="none" w:sz="0" w:space="0" w:color="auto"/>
                <w:bottom w:val="none" w:sz="0" w:space="0" w:color="auto"/>
                <w:right w:val="none" w:sz="0" w:space="0" w:color="auto"/>
              </w:divBdr>
            </w:div>
          </w:divsChild>
        </w:div>
        <w:div w:id="1509785245">
          <w:marLeft w:val="0"/>
          <w:marRight w:val="0"/>
          <w:marTop w:val="0"/>
          <w:marBottom w:val="0"/>
          <w:divBdr>
            <w:top w:val="none" w:sz="0" w:space="0" w:color="auto"/>
            <w:left w:val="none" w:sz="0" w:space="0" w:color="auto"/>
            <w:bottom w:val="none" w:sz="0" w:space="0" w:color="auto"/>
            <w:right w:val="none" w:sz="0" w:space="0" w:color="auto"/>
          </w:divBdr>
        </w:div>
        <w:div w:id="1894609825">
          <w:marLeft w:val="0"/>
          <w:marRight w:val="0"/>
          <w:marTop w:val="0"/>
          <w:marBottom w:val="0"/>
          <w:divBdr>
            <w:top w:val="none" w:sz="0" w:space="0" w:color="auto"/>
            <w:left w:val="none" w:sz="0" w:space="0" w:color="auto"/>
            <w:bottom w:val="none" w:sz="0" w:space="0" w:color="auto"/>
            <w:right w:val="none" w:sz="0" w:space="0" w:color="auto"/>
          </w:divBdr>
        </w:div>
        <w:div w:id="312368821">
          <w:marLeft w:val="0"/>
          <w:marRight w:val="0"/>
          <w:marTop w:val="0"/>
          <w:marBottom w:val="0"/>
          <w:divBdr>
            <w:top w:val="none" w:sz="0" w:space="0" w:color="auto"/>
            <w:left w:val="none" w:sz="0" w:space="0" w:color="auto"/>
            <w:bottom w:val="none" w:sz="0" w:space="0" w:color="auto"/>
            <w:right w:val="none" w:sz="0" w:space="0" w:color="auto"/>
          </w:divBdr>
        </w:div>
        <w:div w:id="1537157836">
          <w:marLeft w:val="0"/>
          <w:marRight w:val="0"/>
          <w:marTop w:val="0"/>
          <w:marBottom w:val="0"/>
          <w:divBdr>
            <w:top w:val="none" w:sz="0" w:space="0" w:color="auto"/>
            <w:left w:val="none" w:sz="0" w:space="0" w:color="auto"/>
            <w:bottom w:val="none" w:sz="0" w:space="0" w:color="auto"/>
            <w:right w:val="none" w:sz="0" w:space="0" w:color="auto"/>
          </w:divBdr>
        </w:div>
        <w:div w:id="1935549142">
          <w:marLeft w:val="0"/>
          <w:marRight w:val="0"/>
          <w:marTop w:val="0"/>
          <w:marBottom w:val="0"/>
          <w:divBdr>
            <w:top w:val="none" w:sz="0" w:space="0" w:color="auto"/>
            <w:left w:val="none" w:sz="0" w:space="0" w:color="auto"/>
            <w:bottom w:val="none" w:sz="0" w:space="0" w:color="auto"/>
            <w:right w:val="none" w:sz="0" w:space="0" w:color="auto"/>
          </w:divBdr>
        </w:div>
        <w:div w:id="2050690785">
          <w:marLeft w:val="0"/>
          <w:marRight w:val="0"/>
          <w:marTop w:val="0"/>
          <w:marBottom w:val="0"/>
          <w:divBdr>
            <w:top w:val="none" w:sz="0" w:space="0" w:color="auto"/>
            <w:left w:val="none" w:sz="0" w:space="0" w:color="auto"/>
            <w:bottom w:val="none" w:sz="0" w:space="0" w:color="auto"/>
            <w:right w:val="none" w:sz="0" w:space="0" w:color="auto"/>
          </w:divBdr>
        </w:div>
        <w:div w:id="1479223143">
          <w:marLeft w:val="0"/>
          <w:marRight w:val="0"/>
          <w:marTop w:val="0"/>
          <w:marBottom w:val="0"/>
          <w:divBdr>
            <w:top w:val="none" w:sz="0" w:space="0" w:color="auto"/>
            <w:left w:val="none" w:sz="0" w:space="0" w:color="auto"/>
            <w:bottom w:val="none" w:sz="0" w:space="0" w:color="auto"/>
            <w:right w:val="none" w:sz="0" w:space="0" w:color="auto"/>
          </w:divBdr>
        </w:div>
        <w:div w:id="1000235790">
          <w:marLeft w:val="0"/>
          <w:marRight w:val="0"/>
          <w:marTop w:val="0"/>
          <w:marBottom w:val="0"/>
          <w:divBdr>
            <w:top w:val="none" w:sz="0" w:space="0" w:color="auto"/>
            <w:left w:val="none" w:sz="0" w:space="0" w:color="auto"/>
            <w:bottom w:val="none" w:sz="0" w:space="0" w:color="auto"/>
            <w:right w:val="none" w:sz="0" w:space="0" w:color="auto"/>
          </w:divBdr>
        </w:div>
        <w:div w:id="1164056066">
          <w:marLeft w:val="0"/>
          <w:marRight w:val="0"/>
          <w:marTop w:val="0"/>
          <w:marBottom w:val="0"/>
          <w:divBdr>
            <w:top w:val="none" w:sz="0" w:space="0" w:color="auto"/>
            <w:left w:val="none" w:sz="0" w:space="0" w:color="auto"/>
            <w:bottom w:val="none" w:sz="0" w:space="0" w:color="auto"/>
            <w:right w:val="none" w:sz="0" w:space="0" w:color="auto"/>
          </w:divBdr>
        </w:div>
        <w:div w:id="1401751124">
          <w:marLeft w:val="0"/>
          <w:marRight w:val="0"/>
          <w:marTop w:val="0"/>
          <w:marBottom w:val="0"/>
          <w:divBdr>
            <w:top w:val="none" w:sz="0" w:space="0" w:color="auto"/>
            <w:left w:val="none" w:sz="0" w:space="0" w:color="auto"/>
            <w:bottom w:val="none" w:sz="0" w:space="0" w:color="auto"/>
            <w:right w:val="none" w:sz="0" w:space="0" w:color="auto"/>
          </w:divBdr>
        </w:div>
        <w:div w:id="1461680500">
          <w:marLeft w:val="0"/>
          <w:marRight w:val="0"/>
          <w:marTop w:val="0"/>
          <w:marBottom w:val="0"/>
          <w:divBdr>
            <w:top w:val="none" w:sz="0" w:space="0" w:color="auto"/>
            <w:left w:val="none" w:sz="0" w:space="0" w:color="auto"/>
            <w:bottom w:val="none" w:sz="0" w:space="0" w:color="auto"/>
            <w:right w:val="none" w:sz="0" w:space="0" w:color="auto"/>
          </w:divBdr>
        </w:div>
        <w:div w:id="320893727">
          <w:marLeft w:val="0"/>
          <w:marRight w:val="0"/>
          <w:marTop w:val="0"/>
          <w:marBottom w:val="0"/>
          <w:divBdr>
            <w:top w:val="none" w:sz="0" w:space="0" w:color="auto"/>
            <w:left w:val="none" w:sz="0" w:space="0" w:color="auto"/>
            <w:bottom w:val="none" w:sz="0" w:space="0" w:color="auto"/>
            <w:right w:val="none" w:sz="0" w:space="0" w:color="auto"/>
          </w:divBdr>
        </w:div>
        <w:div w:id="645166147">
          <w:marLeft w:val="0"/>
          <w:marRight w:val="0"/>
          <w:marTop w:val="0"/>
          <w:marBottom w:val="0"/>
          <w:divBdr>
            <w:top w:val="none" w:sz="0" w:space="0" w:color="auto"/>
            <w:left w:val="none" w:sz="0" w:space="0" w:color="auto"/>
            <w:bottom w:val="none" w:sz="0" w:space="0" w:color="auto"/>
            <w:right w:val="none" w:sz="0" w:space="0" w:color="auto"/>
          </w:divBdr>
        </w:div>
        <w:div w:id="1234706530">
          <w:marLeft w:val="0"/>
          <w:marRight w:val="0"/>
          <w:marTop w:val="0"/>
          <w:marBottom w:val="0"/>
          <w:divBdr>
            <w:top w:val="none" w:sz="0" w:space="0" w:color="auto"/>
            <w:left w:val="none" w:sz="0" w:space="0" w:color="auto"/>
            <w:bottom w:val="none" w:sz="0" w:space="0" w:color="auto"/>
            <w:right w:val="none" w:sz="0" w:space="0" w:color="auto"/>
          </w:divBdr>
        </w:div>
        <w:div w:id="1735932508">
          <w:marLeft w:val="0"/>
          <w:marRight w:val="0"/>
          <w:marTop w:val="0"/>
          <w:marBottom w:val="0"/>
          <w:divBdr>
            <w:top w:val="none" w:sz="0" w:space="0" w:color="auto"/>
            <w:left w:val="none" w:sz="0" w:space="0" w:color="auto"/>
            <w:bottom w:val="none" w:sz="0" w:space="0" w:color="auto"/>
            <w:right w:val="none" w:sz="0" w:space="0" w:color="auto"/>
          </w:divBdr>
        </w:div>
      </w:divsChild>
    </w:div>
    <w:div w:id="1933706489">
      <w:bodyDiv w:val="1"/>
      <w:marLeft w:val="0"/>
      <w:marRight w:val="0"/>
      <w:marTop w:val="0"/>
      <w:marBottom w:val="0"/>
      <w:divBdr>
        <w:top w:val="none" w:sz="0" w:space="0" w:color="auto"/>
        <w:left w:val="none" w:sz="0" w:space="0" w:color="auto"/>
        <w:bottom w:val="none" w:sz="0" w:space="0" w:color="auto"/>
        <w:right w:val="none" w:sz="0" w:space="0" w:color="auto"/>
      </w:divBdr>
    </w:div>
    <w:div w:id="1980264577">
      <w:bodyDiv w:val="1"/>
      <w:marLeft w:val="0"/>
      <w:marRight w:val="0"/>
      <w:marTop w:val="0"/>
      <w:marBottom w:val="0"/>
      <w:divBdr>
        <w:top w:val="none" w:sz="0" w:space="0" w:color="auto"/>
        <w:left w:val="none" w:sz="0" w:space="0" w:color="auto"/>
        <w:bottom w:val="none" w:sz="0" w:space="0" w:color="auto"/>
        <w:right w:val="none" w:sz="0" w:space="0" w:color="auto"/>
      </w:divBdr>
    </w:div>
    <w:div w:id="2008364835">
      <w:bodyDiv w:val="1"/>
      <w:marLeft w:val="0"/>
      <w:marRight w:val="0"/>
      <w:marTop w:val="0"/>
      <w:marBottom w:val="0"/>
      <w:divBdr>
        <w:top w:val="none" w:sz="0" w:space="0" w:color="auto"/>
        <w:left w:val="none" w:sz="0" w:space="0" w:color="auto"/>
        <w:bottom w:val="none" w:sz="0" w:space="0" w:color="auto"/>
        <w:right w:val="none" w:sz="0" w:space="0" w:color="auto"/>
      </w:divBdr>
    </w:div>
    <w:div w:id="2031485748">
      <w:bodyDiv w:val="1"/>
      <w:marLeft w:val="0"/>
      <w:marRight w:val="0"/>
      <w:marTop w:val="0"/>
      <w:marBottom w:val="0"/>
      <w:divBdr>
        <w:top w:val="none" w:sz="0" w:space="0" w:color="auto"/>
        <w:left w:val="none" w:sz="0" w:space="0" w:color="auto"/>
        <w:bottom w:val="none" w:sz="0" w:space="0" w:color="auto"/>
        <w:right w:val="none" w:sz="0" w:space="0" w:color="auto"/>
      </w:divBdr>
      <w:divsChild>
        <w:div w:id="205945474">
          <w:marLeft w:val="446"/>
          <w:marRight w:val="0"/>
          <w:marTop w:val="0"/>
          <w:marBottom w:val="0"/>
          <w:divBdr>
            <w:top w:val="none" w:sz="0" w:space="0" w:color="auto"/>
            <w:left w:val="none" w:sz="0" w:space="0" w:color="auto"/>
            <w:bottom w:val="none" w:sz="0" w:space="0" w:color="auto"/>
            <w:right w:val="none" w:sz="0" w:space="0" w:color="auto"/>
          </w:divBdr>
        </w:div>
        <w:div w:id="438331222">
          <w:marLeft w:val="446"/>
          <w:marRight w:val="0"/>
          <w:marTop w:val="0"/>
          <w:marBottom w:val="0"/>
          <w:divBdr>
            <w:top w:val="none" w:sz="0" w:space="0" w:color="auto"/>
            <w:left w:val="none" w:sz="0" w:space="0" w:color="auto"/>
            <w:bottom w:val="none" w:sz="0" w:space="0" w:color="auto"/>
            <w:right w:val="none" w:sz="0" w:space="0" w:color="auto"/>
          </w:divBdr>
        </w:div>
      </w:divsChild>
    </w:div>
    <w:div w:id="2105955609">
      <w:bodyDiv w:val="1"/>
      <w:marLeft w:val="0"/>
      <w:marRight w:val="0"/>
      <w:marTop w:val="0"/>
      <w:marBottom w:val="0"/>
      <w:divBdr>
        <w:top w:val="none" w:sz="0" w:space="0" w:color="auto"/>
        <w:left w:val="none" w:sz="0" w:space="0" w:color="auto"/>
        <w:bottom w:val="none" w:sz="0" w:space="0" w:color="auto"/>
        <w:right w:val="none" w:sz="0" w:space="0" w:color="auto"/>
      </w:divBdr>
    </w:div>
    <w:div w:id="2114206777">
      <w:bodyDiv w:val="1"/>
      <w:marLeft w:val="0"/>
      <w:marRight w:val="0"/>
      <w:marTop w:val="0"/>
      <w:marBottom w:val="0"/>
      <w:divBdr>
        <w:top w:val="none" w:sz="0" w:space="0" w:color="auto"/>
        <w:left w:val="none" w:sz="0" w:space="0" w:color="auto"/>
        <w:bottom w:val="none" w:sz="0" w:space="0" w:color="auto"/>
        <w:right w:val="none" w:sz="0" w:space="0" w:color="auto"/>
      </w:divBdr>
    </w:div>
    <w:div w:id="2120369079">
      <w:bodyDiv w:val="1"/>
      <w:marLeft w:val="0"/>
      <w:marRight w:val="0"/>
      <w:marTop w:val="0"/>
      <w:marBottom w:val="0"/>
      <w:divBdr>
        <w:top w:val="none" w:sz="0" w:space="0" w:color="auto"/>
        <w:left w:val="none" w:sz="0" w:space="0" w:color="auto"/>
        <w:bottom w:val="none" w:sz="0" w:space="0" w:color="auto"/>
        <w:right w:val="none" w:sz="0" w:space="0" w:color="auto"/>
      </w:divBdr>
    </w:div>
    <w:div w:id="213818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21BC-F0DC-435A-8196-595517CA9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7028</Words>
  <Characters>40064</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Thurman</dc:creator>
  <cp:keywords/>
  <dc:description/>
  <cp:lastModifiedBy>Thomas Thurman</cp:lastModifiedBy>
  <cp:revision>2</cp:revision>
  <cp:lastPrinted>2021-03-04T06:38:00Z</cp:lastPrinted>
  <dcterms:created xsi:type="dcterms:W3CDTF">2021-07-05T13:10:00Z</dcterms:created>
  <dcterms:modified xsi:type="dcterms:W3CDTF">2021-07-05T13:10:00Z</dcterms:modified>
</cp:coreProperties>
</file>